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C8" w:rsidRPr="008378C8" w:rsidRDefault="008378C8" w:rsidP="008378C8">
      <w:pPr>
        <w:adjustRightInd/>
        <w:snapToGrid/>
        <w:spacing w:before="140" w:after="0" w:line="364" w:lineRule="atLeast"/>
        <w:jc w:val="center"/>
        <w:rPr>
          <w:rFonts w:ascii="宋体" w:eastAsia="宋体" w:hAnsi="宋体" w:cs="宋体"/>
          <w:sz w:val="40"/>
          <w:szCs w:val="40"/>
        </w:rPr>
      </w:pPr>
      <w:r w:rsidRPr="008378C8">
        <w:rPr>
          <w:rFonts w:ascii="方正小标宋_GBK" w:eastAsia="方正小标宋_GBK" w:hAnsi="宋体" w:cs="宋体" w:hint="eastAsia"/>
          <w:b/>
          <w:bCs/>
          <w:spacing w:val="14"/>
          <w:sz w:val="40"/>
          <w:szCs w:val="40"/>
        </w:rPr>
        <w:t>政府部门及下属单位综合性涉企收费目录清单</w:t>
      </w:r>
    </w:p>
    <w:p w:rsidR="008378C8" w:rsidRPr="008378C8" w:rsidRDefault="008378C8" w:rsidP="008378C8">
      <w:pPr>
        <w:adjustRightInd/>
        <w:snapToGrid/>
        <w:spacing w:before="140" w:after="0" w:line="364" w:lineRule="atLeast"/>
        <w:jc w:val="center"/>
        <w:rPr>
          <w:rFonts w:ascii="宋体" w:eastAsia="宋体" w:hAnsi="宋体" w:cs="宋体"/>
          <w:sz w:val="40"/>
          <w:szCs w:val="40"/>
        </w:rPr>
      </w:pPr>
    </w:p>
    <w:p w:rsidR="008378C8" w:rsidRPr="008378C8" w:rsidRDefault="008378C8" w:rsidP="008378C8">
      <w:pPr>
        <w:adjustRightInd/>
        <w:snapToGrid/>
        <w:spacing w:before="140" w:after="0" w:line="364" w:lineRule="atLeast"/>
        <w:jc w:val="center"/>
        <w:rPr>
          <w:rFonts w:ascii="宋体" w:eastAsia="宋体" w:hAnsi="宋体" w:cs="宋体"/>
          <w:sz w:val="40"/>
          <w:szCs w:val="40"/>
        </w:rPr>
      </w:pPr>
    </w:p>
    <w:tbl>
      <w:tblPr>
        <w:tblW w:w="14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35"/>
        <w:gridCol w:w="1359"/>
        <w:gridCol w:w="1333"/>
        <w:gridCol w:w="1346"/>
        <w:gridCol w:w="1374"/>
        <w:gridCol w:w="996"/>
        <w:gridCol w:w="2437"/>
        <w:gridCol w:w="1360"/>
        <w:gridCol w:w="1536"/>
        <w:gridCol w:w="1732"/>
        <w:gridCol w:w="727"/>
      </w:tblGrid>
      <w:tr w:rsidR="008378C8" w:rsidRPr="008378C8" w:rsidTr="008378C8">
        <w:trPr>
          <w:trHeight w:val="634"/>
        </w:trPr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94" w:after="0" w:line="199" w:lineRule="atLeast"/>
              <w:ind w:left="5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201" w:after="0" w:line="218" w:lineRule="atLeast"/>
              <w:ind w:left="20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-5"/>
                <w:sz w:val="24"/>
                <w:szCs w:val="24"/>
              </w:rPr>
              <w:t>部门名称</w:t>
            </w:r>
          </w:p>
        </w:tc>
        <w:tc>
          <w:tcPr>
            <w:tcW w:w="1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31" w:after="0" w:line="218" w:lineRule="atLeast"/>
              <w:ind w:left="24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-2"/>
                <w:sz w:val="24"/>
                <w:szCs w:val="24"/>
              </w:rPr>
              <w:t>收费单位</w:t>
            </w:r>
            <w:r w:rsidRPr="008378C8">
              <w:rPr>
                <w:rFonts w:ascii="方正大黑体_GBK" w:eastAsia="方正大黑体_GBK" w:hAnsi="宋体" w:cs="宋体" w:hint="eastAsia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202" w:after="0" w:line="221" w:lineRule="atLeast"/>
              <w:ind w:left="3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2"/>
                <w:sz w:val="24"/>
                <w:szCs w:val="24"/>
              </w:rPr>
              <w:t>单位性质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201" w:after="0" w:line="218" w:lineRule="atLeast"/>
              <w:ind w:left="176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7"/>
                <w:sz w:val="24"/>
                <w:szCs w:val="24"/>
              </w:rPr>
              <w:t>收费项目</w:t>
            </w:r>
          </w:p>
        </w:tc>
        <w:tc>
          <w:tcPr>
            <w:tcW w:w="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201" w:after="0" w:line="218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2"/>
                <w:sz w:val="24"/>
                <w:szCs w:val="24"/>
              </w:rPr>
              <w:t>收费性质</w:t>
            </w:r>
          </w:p>
        </w:tc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41" w:after="0" w:line="218" w:lineRule="atLeast"/>
              <w:ind w:left="2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-5"/>
                <w:sz w:val="24"/>
                <w:szCs w:val="24"/>
              </w:rPr>
              <w:t>服务内容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before="45" w:after="0" w:line="194" w:lineRule="atLeast"/>
              <w:ind w:left="9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-1"/>
                <w:sz w:val="24"/>
                <w:szCs w:val="24"/>
              </w:rPr>
              <w:t>或涉及事项</w:t>
            </w:r>
          </w:p>
        </w:tc>
        <w:tc>
          <w:tcPr>
            <w:tcW w:w="1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201" w:after="0" w:line="218" w:lineRule="atLeast"/>
              <w:ind w:left="21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-2"/>
                <w:sz w:val="24"/>
                <w:szCs w:val="24"/>
              </w:rPr>
              <w:t>收费标准</w:t>
            </w:r>
          </w:p>
        </w:tc>
        <w:tc>
          <w:tcPr>
            <w:tcW w:w="15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52" w:after="0" w:line="221" w:lineRule="atLeast"/>
              <w:ind w:left="3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-5"/>
                <w:sz w:val="24"/>
                <w:szCs w:val="24"/>
              </w:rPr>
              <w:t>标准制定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before="33" w:after="0" w:line="194" w:lineRule="atLeast"/>
              <w:ind w:left="23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1"/>
                <w:sz w:val="24"/>
                <w:szCs w:val="24"/>
              </w:rPr>
              <w:t>方式及部门</w:t>
            </w:r>
          </w:p>
        </w:tc>
        <w:tc>
          <w:tcPr>
            <w:tcW w:w="1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200" w:after="0" w:line="218" w:lineRule="atLeast"/>
              <w:ind w:left="22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-5"/>
                <w:sz w:val="24"/>
                <w:szCs w:val="24"/>
              </w:rPr>
              <w:t>政策依据</w:t>
            </w:r>
          </w:p>
        </w:tc>
        <w:tc>
          <w:tcPr>
            <w:tcW w:w="719" w:type="dxa"/>
            <w:tcBorders>
              <w:left w:val="single" w:sz="6" w:space="0" w:color="auto"/>
              <w:bottom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202" w:after="0" w:line="221" w:lineRule="atLeast"/>
              <w:ind w:left="13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方正大黑体_GBK" w:eastAsia="方正大黑体_GBK" w:hAnsi="宋体" w:cs="宋体" w:hint="eastAsia"/>
                <w:spacing w:val="-6"/>
                <w:sz w:val="24"/>
                <w:szCs w:val="24"/>
              </w:rPr>
              <w:t>备注</w:t>
            </w:r>
          </w:p>
        </w:tc>
      </w:tr>
      <w:tr w:rsidR="008378C8" w:rsidRPr="008378C8" w:rsidTr="008378C8">
        <w:trPr>
          <w:trHeight w:val="1417"/>
        </w:trPr>
        <w:tc>
          <w:tcPr>
            <w:tcW w:w="6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62" w:after="0" w:line="22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62" w:after="0" w:line="22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z w:val="24"/>
                <w:szCs w:val="24"/>
              </w:rPr>
              <w:t>重庆市市场监督管理局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59" w:after="0" w:line="21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7"/>
                <w:sz w:val="24"/>
                <w:szCs w:val="24"/>
              </w:rPr>
              <w:t>重庆市渝中区市场监督管理局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59" w:after="0" w:line="21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政府部门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61" w:after="0" w:line="22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履约保证金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61" w:after="0" w:line="21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涉企保证金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pacing w:val="-1"/>
                <w:sz w:val="21"/>
                <w:szCs w:val="21"/>
              </w:rPr>
              <w:t>根据招标文件具体要求执行</w:t>
            </w:r>
            <w:r w:rsidRPr="008378C8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。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鼓励招标人接受担保机构的保函、保险机构的保单等其他非现金交易担保方式缴纳保证金。依法必须招标项目的招标人不得强制要求投标人、中标人缴纳现金保证金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 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履约保证金不得超过中标合同金额的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10%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。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政府制定</w:t>
            </w:r>
            <w:r w:rsidRPr="008378C8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（国家发展改革委）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《中华人民共和国招标投标法》《中华人民共和国招标投标法实施条例》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 </w:t>
            </w:r>
          </w:p>
        </w:tc>
      </w:tr>
      <w:tr w:rsidR="008378C8" w:rsidRPr="008378C8" w:rsidTr="008378C8">
        <w:trPr>
          <w:trHeight w:val="2697"/>
        </w:trPr>
        <w:tc>
          <w:tcPr>
            <w:tcW w:w="6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62" w:after="0" w:line="22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62" w:after="0" w:line="22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z w:val="24"/>
                <w:szCs w:val="24"/>
              </w:rPr>
              <w:t>重庆市市场监督管理局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59" w:after="0" w:line="21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7"/>
                <w:sz w:val="24"/>
                <w:szCs w:val="24"/>
              </w:rPr>
              <w:t>重庆市渝中区市场监督管理局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59" w:after="0" w:line="21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政府部门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61" w:after="0" w:line="22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工程质量保证金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61" w:after="0" w:line="21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涉企保证金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发包人与承包人在建设工程承包合同中约定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从应付的工程款中预留，可以银行保函（保险）方式替代工程质量保证金，采用工程质量担保、工程质量保险等其他保证方式的不得预留工程质量保证金。承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lastRenderedPageBreak/>
              <w:t>包人缴纳履约保证金的，发包人不得同时预留工程质量保证金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32"/>
                <w:szCs w:val="32"/>
              </w:rPr>
            </w:pPr>
            <w:r w:rsidRPr="008378C8">
              <w:rPr>
                <w:rFonts w:ascii="宋体" w:eastAsia="宋体" w:hAnsi="宋体" w:cs="宋体"/>
                <w:sz w:val="32"/>
                <w:szCs w:val="32"/>
              </w:rPr>
              <w:lastRenderedPageBreak/>
              <w:t> 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 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 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保证金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预留比例由发承包双方自行约定，不得高于工程价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lastRenderedPageBreak/>
              <w:t>款结算总额的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3%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。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lastRenderedPageBreak/>
              <w:t>政府制定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（住房城乡建设部、财政部）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国务院办公厅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《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关于清理规范工程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建设领域保证金的通知》（国办发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〔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2016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〕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49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号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）</w:t>
            </w:r>
            <w:r w:rsidRPr="008378C8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住房城乡建设部、财政部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lastRenderedPageBreak/>
              <w:t>《关于印发建设工程质量保证金管理办法的通知》建质〔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2017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〕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138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号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lastRenderedPageBreak/>
              <w:t> </w:t>
            </w:r>
          </w:p>
        </w:tc>
      </w:tr>
      <w:tr w:rsidR="008378C8" w:rsidRPr="008378C8" w:rsidTr="008378C8">
        <w:trPr>
          <w:trHeight w:val="1828"/>
        </w:trPr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88" w:after="0" w:line="3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 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before="188" w:after="0" w:line="3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z w:val="24"/>
                <w:szCs w:val="24"/>
              </w:rPr>
              <w:t> 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before="188"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62" w:after="0" w:line="22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z w:val="24"/>
                <w:szCs w:val="24"/>
              </w:rPr>
              <w:t>重庆市市场监督管理局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59" w:after="0" w:line="21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7"/>
                <w:sz w:val="24"/>
                <w:szCs w:val="24"/>
              </w:rPr>
              <w:t>重庆市渝中区市场监督管理局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before="159" w:after="0" w:line="21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政府部门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 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 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 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气瓶电子标签收费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78C8"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行政事业性收费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气瓶电子标签每枚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15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元（含电子标签芯片，标签初始化、数据录入，标签封装、粘贴，材料费、人工费和清洁费等）。该项收费暂不向出租汽车收取。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气瓶电子标签每枚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15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政府制定</w:t>
            </w:r>
          </w:p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（重庆市物价局、 重庆市财政局）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《国务院关于修改〈特种设备安全监察条例〉的决定》（国务院令第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549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号）、《重庆市特种设备安全监察条例》《重庆市行政事业性收费管理条例》</w:t>
            </w:r>
            <w:r w:rsidRPr="008378C8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重庆市物价局、重庆市财政局《关于我市气瓶电子标签收费标准的通知》（渝价〔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2009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〕</w:t>
            </w:r>
            <w:r w:rsidRPr="008378C8">
              <w:rPr>
                <w:rFonts w:ascii="Arial" w:eastAsia="宋体" w:hAnsi="Arial" w:cs="Arial"/>
                <w:sz w:val="21"/>
                <w:szCs w:val="21"/>
              </w:rPr>
              <w:t>472</w:t>
            </w:r>
            <w:r w:rsidRPr="008378C8">
              <w:rPr>
                <w:rFonts w:ascii="宋体" w:eastAsia="宋体" w:hAnsi="宋体" w:cs="宋体" w:hint="eastAsia"/>
                <w:sz w:val="21"/>
                <w:szCs w:val="21"/>
              </w:rPr>
              <w:t>号）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378C8" w:rsidRPr="008378C8" w:rsidRDefault="008378C8" w:rsidP="008378C8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378C8">
              <w:rPr>
                <w:rFonts w:ascii="Arial" w:eastAsia="宋体" w:hAnsi="Arial" w:cs="Arial"/>
                <w:sz w:val="21"/>
                <w:szCs w:val="21"/>
              </w:rPr>
              <w:t> </w:t>
            </w:r>
          </w:p>
        </w:tc>
      </w:tr>
    </w:tbl>
    <w:p w:rsidR="008378C8" w:rsidRPr="008378C8" w:rsidRDefault="008378C8" w:rsidP="008378C8">
      <w:pPr>
        <w:adjustRightInd/>
        <w:snapToGrid/>
        <w:spacing w:after="0" w:line="360" w:lineRule="atLeast"/>
        <w:rPr>
          <w:rFonts w:ascii="宋体" w:eastAsia="宋体" w:hAnsi="宋体" w:cs="宋体"/>
          <w:sz w:val="10"/>
          <w:szCs w:val="10"/>
        </w:rPr>
      </w:pPr>
      <w:r w:rsidRPr="008378C8">
        <w:rPr>
          <w:rFonts w:ascii="宋体" w:eastAsia="宋体" w:hAnsi="宋体" w:cs="宋体"/>
          <w:sz w:val="10"/>
          <w:szCs w:val="10"/>
        </w:rPr>
        <w:t> </w:t>
      </w:r>
    </w:p>
    <w:p w:rsidR="008378C8" w:rsidRPr="008378C8" w:rsidRDefault="008378C8" w:rsidP="008378C8">
      <w:pPr>
        <w:adjustRightInd/>
        <w:snapToGrid/>
        <w:spacing w:after="0" w:line="281" w:lineRule="atLeast"/>
        <w:ind w:left="12785"/>
        <w:rPr>
          <w:rFonts w:ascii="宋体" w:eastAsia="宋体" w:hAnsi="宋体" w:cs="宋体"/>
          <w:sz w:val="29"/>
          <w:szCs w:val="29"/>
        </w:rPr>
      </w:pPr>
      <w:r w:rsidRPr="008378C8">
        <w:rPr>
          <w:rFonts w:ascii="宋体" w:eastAsia="宋体" w:hAnsi="宋体" w:cs="宋体" w:hint="eastAsia"/>
          <w:sz w:val="29"/>
          <w:szCs w:val="29"/>
        </w:rPr>
        <w:lastRenderedPageBreak/>
        <w:t> </w:t>
      </w:r>
    </w:p>
    <w:p w:rsidR="004358AB" w:rsidRDefault="004358AB" w:rsidP="00D31D50">
      <w:pPr>
        <w:spacing w:line="220" w:lineRule="atLeast"/>
      </w:pPr>
    </w:p>
    <w:sectPr w:rsidR="004358AB" w:rsidSect="00837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大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C28F8"/>
    <w:rsid w:val="00323B43"/>
    <w:rsid w:val="003D37D8"/>
    <w:rsid w:val="00426133"/>
    <w:rsid w:val="004358AB"/>
    <w:rsid w:val="008378C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8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2025-06-24T05:07:00Z</dcterms:modified>
</cp:coreProperties>
</file>