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40" w:lineRule="exact"/>
        <w:jc w:val="center"/>
        <w:rPr>
          <w:rFonts w:hint="eastAsia"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w:t>
      </w:r>
      <w:r>
        <w:rPr>
          <w:rFonts w:hint="eastAsia" w:ascii="方正小标宋简体" w:hAnsi="仿宋" w:eastAsia="方正小标宋简体" w:cs="方正仿宋简体"/>
          <w:color w:val="000000"/>
          <w:sz w:val="32"/>
          <w:szCs w:val="32"/>
          <w:lang w:val="en-US" w:eastAsia="zh-CN"/>
        </w:rPr>
        <w:t>办公椅</w:t>
      </w:r>
      <w:r>
        <w:rPr>
          <w:rFonts w:hint="eastAsia" w:ascii="方正小标宋简体" w:hAnsi="仿宋" w:eastAsia="方正小标宋简体" w:cs="方正仿宋简体"/>
          <w:color w:val="000000"/>
          <w:sz w:val="32"/>
          <w:szCs w:val="32"/>
        </w:rPr>
        <w:t>产品质量监督抽查实施细则</w:t>
      </w:r>
    </w:p>
    <w:p>
      <w:pPr>
        <w:snapToGrid w:val="0"/>
        <w:spacing w:line="440" w:lineRule="exact"/>
        <w:jc w:val="center"/>
        <w:rPr>
          <w:rFonts w:hint="eastAsia"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（202</w:t>
      </w:r>
      <w:r>
        <w:rPr>
          <w:rFonts w:hint="eastAsia" w:ascii="方正小标宋简体" w:hAnsi="仿宋" w:eastAsia="方正小标宋简体" w:cs="方正仿宋简体"/>
          <w:color w:val="000000"/>
          <w:sz w:val="32"/>
          <w:szCs w:val="32"/>
          <w:lang w:val="en-US" w:eastAsia="zh-CN"/>
        </w:rPr>
        <w:t>4</w:t>
      </w:r>
      <w:r>
        <w:rPr>
          <w:rFonts w:hint="eastAsia" w:ascii="方正小标宋简体" w:hAnsi="仿宋" w:eastAsia="方正小标宋简体" w:cs="方正仿宋简体"/>
          <w:color w:val="000000"/>
          <w:sz w:val="32"/>
          <w:szCs w:val="32"/>
        </w:rPr>
        <w:t>年）</w:t>
      </w:r>
    </w:p>
    <w:p>
      <w:pPr>
        <w:snapToGrid w:val="0"/>
        <w:spacing w:line="440" w:lineRule="exact"/>
        <w:rPr>
          <w:rFonts w:hint="eastAsia" w:ascii="黑体" w:hAnsi="宋体" w:eastAsia="黑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pPr>
        <w:adjustRightInd w:val="0"/>
        <w:snapToGrid w:val="0"/>
        <w:spacing w:line="440" w:lineRule="exact"/>
        <w:ind w:firstLine="420"/>
        <w:rPr>
          <w:rFonts w:ascii="宋体" w:hAnsi="宋体"/>
          <w:color w:val="000000"/>
          <w:szCs w:val="21"/>
        </w:rPr>
      </w:pPr>
      <w:r>
        <w:rPr>
          <w:rFonts w:hint="eastAsia" w:ascii="宋体" w:hAnsi="宋体"/>
          <w:szCs w:val="21"/>
        </w:rPr>
        <w:t>每批次抽取样品</w:t>
      </w:r>
      <w:r>
        <w:rPr>
          <w:rFonts w:hint="eastAsia" w:ascii="宋体" w:hAnsi="宋体"/>
          <w:color w:val="000000"/>
          <w:szCs w:val="21"/>
          <w:lang w:val="en-US" w:eastAsia="zh-CN"/>
        </w:rPr>
        <w:t>4</w:t>
      </w:r>
      <w:r>
        <w:rPr>
          <w:rFonts w:ascii="宋体" w:hAnsi="宋体"/>
          <w:color w:val="000000"/>
          <w:szCs w:val="21"/>
        </w:rPr>
        <w:t xml:space="preserve">件，其中 </w:t>
      </w:r>
      <w:r>
        <w:rPr>
          <w:rFonts w:hint="eastAsia" w:ascii="宋体" w:hAnsi="宋体"/>
          <w:color w:val="000000"/>
          <w:szCs w:val="21"/>
          <w:lang w:val="en-US" w:eastAsia="zh-CN"/>
        </w:rPr>
        <w:t>3</w:t>
      </w:r>
      <w:r>
        <w:rPr>
          <w:rFonts w:ascii="宋体" w:hAnsi="宋体"/>
          <w:color w:val="000000"/>
          <w:szCs w:val="21"/>
        </w:rPr>
        <w:t>件作为检验样品，1件作为备用样品。</w:t>
      </w:r>
    </w:p>
    <w:p>
      <w:pPr>
        <w:snapToGrid w:val="0"/>
        <w:spacing w:line="440" w:lineRule="exact"/>
        <w:rPr>
          <w:rFonts w:hint="eastAsia" w:ascii="黑体" w:hAnsi="宋体" w:eastAsia="黑体"/>
          <w:color w:val="000000"/>
          <w:szCs w:val="21"/>
        </w:rPr>
      </w:pPr>
      <w:r>
        <w:rPr>
          <w:rFonts w:hint="eastAsia" w:ascii="黑体" w:hAnsi="宋体" w:eastAsia="黑体"/>
          <w:color w:val="000000"/>
          <w:szCs w:val="21"/>
        </w:rPr>
        <w:t>2 检验依据</w:t>
      </w:r>
    </w:p>
    <w:tbl>
      <w:tblPr>
        <w:tblStyle w:val="8"/>
        <w:tblW w:w="5088"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15" w:type="dxa"/>
          <w:left w:w="15" w:type="dxa"/>
          <w:bottom w:w="15" w:type="dxa"/>
          <w:right w:w="15" w:type="dxa"/>
        </w:tblCellMar>
      </w:tblPr>
      <w:tblGrid>
        <w:gridCol w:w="1211"/>
        <w:gridCol w:w="5733"/>
        <w:gridCol w:w="22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jc w:val="center"/>
        </w:trPr>
        <w:tc>
          <w:tcPr>
            <w:tcW w:w="662"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default"/>
                <w:sz w:val="21"/>
                <w:szCs w:val="21"/>
                <w:highlight w:val="none"/>
                <w:lang w:val="en-US" w:eastAsia="zh-CN"/>
              </w:rPr>
            </w:pPr>
            <w:bookmarkStart w:id="0" w:name="_GoBack"/>
            <w:bookmarkEnd w:id="0"/>
            <w:r>
              <w:rPr>
                <w:rFonts w:hint="eastAsia"/>
                <w:sz w:val="21"/>
                <w:szCs w:val="21"/>
                <w:highlight w:val="none"/>
                <w:lang w:val="en-US" w:eastAsia="zh-CN"/>
              </w:rPr>
              <w:t>序号</w:t>
            </w:r>
          </w:p>
        </w:tc>
        <w:tc>
          <w:tcPr>
            <w:tcW w:w="3134"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default"/>
                <w:sz w:val="21"/>
                <w:szCs w:val="21"/>
                <w:highlight w:val="none"/>
                <w:lang w:val="en-US" w:eastAsia="zh-CN"/>
              </w:rPr>
            </w:pPr>
            <w:r>
              <w:rPr>
                <w:rFonts w:hint="eastAsia"/>
                <w:sz w:val="21"/>
                <w:szCs w:val="21"/>
                <w:highlight w:val="none"/>
                <w:lang w:val="en-US" w:eastAsia="zh-CN"/>
              </w:rPr>
              <w:t>检验项目</w:t>
            </w:r>
          </w:p>
        </w:tc>
        <w:tc>
          <w:tcPr>
            <w:tcW w:w="1203"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default"/>
                <w:sz w:val="21"/>
                <w:szCs w:val="21"/>
                <w:highlight w:val="none"/>
                <w:lang w:val="en-US" w:eastAsia="zh-CN"/>
              </w:rPr>
            </w:pPr>
            <w:r>
              <w:rPr>
                <w:rFonts w:hint="eastAsia"/>
                <w:sz w:val="21"/>
                <w:szCs w:val="21"/>
                <w:highlight w:val="none"/>
                <w:lang w:val="en-US" w:eastAsia="zh-CN"/>
              </w:rPr>
              <w:t>检验方法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jc w:val="center"/>
        </w:trPr>
        <w:tc>
          <w:tcPr>
            <w:tcW w:w="662"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default"/>
                <w:sz w:val="21"/>
                <w:szCs w:val="21"/>
                <w:highlight w:val="none"/>
                <w:lang w:val="en-US" w:eastAsia="zh-CN"/>
              </w:rPr>
            </w:pPr>
            <w:r>
              <w:rPr>
                <w:rFonts w:hint="eastAsia"/>
                <w:sz w:val="21"/>
                <w:szCs w:val="21"/>
                <w:highlight w:val="none"/>
                <w:lang w:val="en-US" w:eastAsia="zh-CN"/>
              </w:rPr>
              <w:t>1</w:t>
            </w:r>
          </w:p>
        </w:tc>
        <w:tc>
          <w:tcPr>
            <w:tcW w:w="3134"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sz w:val="21"/>
                <w:szCs w:val="21"/>
                <w:highlight w:val="none"/>
                <w:lang w:val="en-US" w:eastAsia="zh-CN"/>
              </w:rPr>
              <w:t>干摩擦色牢度（纺织面料）</w:t>
            </w:r>
          </w:p>
        </w:tc>
        <w:tc>
          <w:tcPr>
            <w:tcW w:w="1203"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sz w:val="21"/>
                <w:szCs w:val="21"/>
                <w:highlight w:val="none"/>
                <w:lang w:val="en-US" w:eastAsia="zh-CN"/>
              </w:rPr>
              <w:t>QB/T 2280-2016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jc w:val="center"/>
        </w:trPr>
        <w:tc>
          <w:tcPr>
            <w:tcW w:w="662"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default"/>
                <w:sz w:val="21"/>
                <w:szCs w:val="21"/>
                <w:highlight w:val="none"/>
                <w:lang w:val="en-US" w:eastAsia="zh-CN"/>
              </w:rPr>
            </w:pPr>
            <w:r>
              <w:rPr>
                <w:rFonts w:hint="eastAsia"/>
                <w:sz w:val="21"/>
                <w:szCs w:val="21"/>
                <w:highlight w:val="none"/>
                <w:lang w:val="en-US" w:eastAsia="zh-CN"/>
              </w:rPr>
              <w:t>2</w:t>
            </w:r>
          </w:p>
        </w:tc>
        <w:tc>
          <w:tcPr>
            <w:tcW w:w="3134"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sz w:val="21"/>
                <w:szCs w:val="21"/>
                <w:highlight w:val="none"/>
                <w:lang w:val="en-US" w:eastAsia="zh-CN"/>
              </w:rPr>
              <w:t>稳定性</w:t>
            </w:r>
          </w:p>
        </w:tc>
        <w:tc>
          <w:tcPr>
            <w:tcW w:w="1203"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sz w:val="21"/>
                <w:szCs w:val="21"/>
                <w:highlight w:val="none"/>
                <w:lang w:val="en-US" w:eastAsia="zh-CN"/>
              </w:rPr>
              <w:t>QB/T 2280-2016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jc w:val="center"/>
        </w:trPr>
        <w:tc>
          <w:tcPr>
            <w:tcW w:w="662"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default"/>
                <w:sz w:val="21"/>
                <w:szCs w:val="21"/>
                <w:highlight w:val="none"/>
                <w:lang w:val="en-US" w:eastAsia="zh-CN"/>
              </w:rPr>
            </w:pPr>
            <w:r>
              <w:rPr>
                <w:rFonts w:hint="eastAsia"/>
                <w:sz w:val="21"/>
                <w:szCs w:val="21"/>
                <w:highlight w:val="none"/>
                <w:lang w:val="en-US" w:eastAsia="zh-CN"/>
              </w:rPr>
              <w:t>3</w:t>
            </w:r>
          </w:p>
        </w:tc>
        <w:tc>
          <w:tcPr>
            <w:tcW w:w="3134"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sz w:val="21"/>
                <w:szCs w:val="21"/>
                <w:highlight w:val="none"/>
                <w:lang w:val="en-US" w:eastAsia="zh-CN"/>
              </w:rPr>
              <w:t>座面冲击</w:t>
            </w:r>
          </w:p>
        </w:tc>
        <w:tc>
          <w:tcPr>
            <w:tcW w:w="1203"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sz w:val="21"/>
                <w:szCs w:val="21"/>
                <w:highlight w:val="none"/>
                <w:lang w:val="en-US" w:eastAsia="zh-CN"/>
              </w:rPr>
              <w:t>QB/T 2280-2016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jc w:val="center"/>
        </w:trPr>
        <w:tc>
          <w:tcPr>
            <w:tcW w:w="662"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default"/>
                <w:sz w:val="21"/>
                <w:szCs w:val="21"/>
                <w:highlight w:val="none"/>
                <w:lang w:val="en-US" w:eastAsia="zh-CN"/>
              </w:rPr>
            </w:pPr>
            <w:r>
              <w:rPr>
                <w:rFonts w:hint="eastAsia"/>
                <w:sz w:val="21"/>
                <w:szCs w:val="21"/>
                <w:highlight w:val="none"/>
                <w:lang w:val="en-US" w:eastAsia="zh-CN"/>
              </w:rPr>
              <w:t>4</w:t>
            </w:r>
          </w:p>
        </w:tc>
        <w:tc>
          <w:tcPr>
            <w:tcW w:w="3134"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sz w:val="21"/>
                <w:szCs w:val="21"/>
                <w:highlight w:val="none"/>
                <w:lang w:val="en-US" w:eastAsia="zh-CN"/>
              </w:rPr>
              <w:t>扶手垂直向下静载荷</w:t>
            </w:r>
          </w:p>
        </w:tc>
        <w:tc>
          <w:tcPr>
            <w:tcW w:w="1203"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sz w:val="21"/>
                <w:szCs w:val="21"/>
                <w:highlight w:val="none"/>
                <w:lang w:val="en-US" w:eastAsia="zh-CN"/>
              </w:rPr>
              <w:t>QB/T 2280-2016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jc w:val="center"/>
        </w:trPr>
        <w:tc>
          <w:tcPr>
            <w:tcW w:w="662"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default"/>
                <w:sz w:val="21"/>
                <w:szCs w:val="21"/>
                <w:highlight w:val="none"/>
                <w:lang w:val="en-US" w:eastAsia="zh-CN"/>
              </w:rPr>
            </w:pPr>
            <w:r>
              <w:rPr>
                <w:rFonts w:hint="eastAsia"/>
                <w:sz w:val="21"/>
                <w:szCs w:val="21"/>
                <w:highlight w:val="none"/>
                <w:lang w:val="en-US" w:eastAsia="zh-CN"/>
              </w:rPr>
              <w:t>5</w:t>
            </w:r>
          </w:p>
        </w:tc>
        <w:tc>
          <w:tcPr>
            <w:tcW w:w="3134"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sz w:val="21"/>
                <w:szCs w:val="21"/>
                <w:highlight w:val="none"/>
                <w:lang w:val="en-US" w:eastAsia="zh-CN"/>
              </w:rPr>
              <w:t>扶手水平静载荷</w:t>
            </w:r>
          </w:p>
        </w:tc>
        <w:tc>
          <w:tcPr>
            <w:tcW w:w="1203"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sz w:val="21"/>
                <w:szCs w:val="21"/>
                <w:highlight w:val="none"/>
                <w:lang w:val="en-US" w:eastAsia="zh-CN"/>
              </w:rPr>
              <w:t>QB/T 2280-2016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jc w:val="center"/>
        </w:trPr>
        <w:tc>
          <w:tcPr>
            <w:tcW w:w="662"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default"/>
                <w:sz w:val="21"/>
                <w:szCs w:val="21"/>
                <w:highlight w:val="none"/>
                <w:lang w:val="en-US" w:eastAsia="zh-CN"/>
              </w:rPr>
            </w:pPr>
            <w:r>
              <w:rPr>
                <w:rFonts w:hint="eastAsia"/>
                <w:sz w:val="21"/>
                <w:szCs w:val="21"/>
                <w:highlight w:val="none"/>
                <w:lang w:val="en-US" w:eastAsia="zh-CN"/>
              </w:rPr>
              <w:t>6</w:t>
            </w:r>
          </w:p>
        </w:tc>
        <w:tc>
          <w:tcPr>
            <w:tcW w:w="3134"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sz w:val="21"/>
                <w:szCs w:val="21"/>
                <w:highlight w:val="none"/>
                <w:lang w:val="en-US" w:eastAsia="zh-CN"/>
              </w:rPr>
              <w:t>底座静载荷</w:t>
            </w:r>
          </w:p>
        </w:tc>
        <w:tc>
          <w:tcPr>
            <w:tcW w:w="1203"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sz w:val="21"/>
                <w:szCs w:val="21"/>
                <w:highlight w:val="none"/>
                <w:lang w:val="en-US" w:eastAsia="zh-CN"/>
              </w:rPr>
              <w:t>QB/T 2280-2016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jc w:val="center"/>
        </w:trPr>
        <w:tc>
          <w:tcPr>
            <w:tcW w:w="662"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default"/>
                <w:sz w:val="21"/>
                <w:szCs w:val="21"/>
                <w:highlight w:val="none"/>
                <w:lang w:val="en-US" w:eastAsia="zh-CN"/>
              </w:rPr>
            </w:pPr>
            <w:r>
              <w:rPr>
                <w:rFonts w:hint="eastAsia"/>
                <w:sz w:val="21"/>
                <w:szCs w:val="21"/>
                <w:highlight w:val="none"/>
                <w:lang w:val="en-US" w:eastAsia="zh-CN"/>
              </w:rPr>
              <w:t>7</w:t>
            </w:r>
          </w:p>
        </w:tc>
        <w:tc>
          <w:tcPr>
            <w:tcW w:w="3134"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sz w:val="21"/>
                <w:szCs w:val="21"/>
                <w:highlight w:val="none"/>
                <w:lang w:val="en-US" w:eastAsia="zh-CN"/>
              </w:rPr>
              <w:t>跌落</w:t>
            </w:r>
          </w:p>
        </w:tc>
        <w:tc>
          <w:tcPr>
            <w:tcW w:w="1203"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sz w:val="21"/>
                <w:szCs w:val="21"/>
                <w:highlight w:val="none"/>
                <w:lang w:val="en-US" w:eastAsia="zh-CN"/>
              </w:rPr>
              <w:t>QB/T 2280-2016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jc w:val="center"/>
        </w:trPr>
        <w:tc>
          <w:tcPr>
            <w:tcW w:w="662"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default"/>
                <w:sz w:val="21"/>
                <w:szCs w:val="21"/>
                <w:highlight w:val="none"/>
                <w:lang w:val="en-US" w:eastAsia="zh-CN"/>
              </w:rPr>
            </w:pPr>
            <w:r>
              <w:rPr>
                <w:rFonts w:hint="eastAsia"/>
                <w:sz w:val="21"/>
                <w:szCs w:val="21"/>
                <w:highlight w:val="none"/>
                <w:lang w:val="en-US" w:eastAsia="zh-CN"/>
              </w:rPr>
              <w:t>8</w:t>
            </w:r>
          </w:p>
        </w:tc>
        <w:tc>
          <w:tcPr>
            <w:tcW w:w="3134"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sz w:val="21"/>
                <w:szCs w:val="21"/>
                <w:highlight w:val="none"/>
                <w:lang w:val="en-US" w:eastAsia="zh-CN"/>
              </w:rPr>
              <w:t>阻燃性</w:t>
            </w:r>
          </w:p>
        </w:tc>
        <w:tc>
          <w:tcPr>
            <w:tcW w:w="1203" w:type="pct"/>
            <w:tcBorders>
              <w:top w:val="single" w:color="000000" w:sz="4" w:space="0"/>
              <w:left w:val="single" w:color="000000" w:sz="4" w:space="0"/>
              <w:bottom w:val="single" w:color="000000" w:sz="4" w:space="0"/>
              <w:right w:val="single" w:color="000000" w:sz="4" w:space="0"/>
            </w:tcBorders>
            <w:noWrap w:val="0"/>
            <w:vAlign w:val="center"/>
          </w:tcPr>
          <w:p>
            <w:pPr>
              <w:spacing w:line="300" w:lineRule="exact"/>
              <w:jc w:val="center"/>
              <w:textAlignment w:val="center"/>
              <w:rPr>
                <w:szCs w:val="21"/>
              </w:rPr>
            </w:pPr>
            <w:r>
              <w:rPr>
                <w:szCs w:val="21"/>
              </w:rPr>
              <w:t>GB 17927.1—2011</w:t>
            </w:r>
          </w:p>
          <w:p>
            <w:pPr>
              <w:bidi w:val="0"/>
              <w:jc w:val="center"/>
              <w:rPr>
                <w:rFonts w:hint="eastAsia"/>
                <w:sz w:val="21"/>
                <w:szCs w:val="21"/>
                <w:highlight w:val="none"/>
                <w:lang w:val="en-US" w:eastAsia="zh-CN"/>
              </w:rPr>
            </w:pPr>
            <w:r>
              <w:rPr>
                <w:szCs w:val="21"/>
              </w:rPr>
              <w:t>GB 17927.2—2011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jc w:val="center"/>
        </w:trPr>
        <w:tc>
          <w:tcPr>
            <w:tcW w:w="662"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default"/>
                <w:sz w:val="21"/>
                <w:szCs w:val="21"/>
                <w:highlight w:val="none"/>
                <w:lang w:val="en-US" w:eastAsia="zh-CN"/>
              </w:rPr>
            </w:pPr>
            <w:r>
              <w:rPr>
                <w:rFonts w:hint="eastAsia"/>
                <w:sz w:val="21"/>
                <w:szCs w:val="21"/>
                <w:highlight w:val="none"/>
                <w:lang w:val="en-US" w:eastAsia="zh-CN"/>
              </w:rPr>
              <w:t>9</w:t>
            </w:r>
          </w:p>
        </w:tc>
        <w:tc>
          <w:tcPr>
            <w:tcW w:w="3134"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sz w:val="21"/>
                <w:szCs w:val="21"/>
                <w:highlight w:val="none"/>
                <w:lang w:val="en-US" w:eastAsia="zh-CN"/>
              </w:rPr>
              <w:t>甲醛释放量</w:t>
            </w:r>
          </w:p>
        </w:tc>
        <w:tc>
          <w:tcPr>
            <w:tcW w:w="1203" w:type="pct"/>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sz w:val="21"/>
                <w:szCs w:val="21"/>
                <w:highlight w:val="none"/>
                <w:lang w:val="en-US" w:eastAsia="zh-CN"/>
              </w:rPr>
            </w:pPr>
            <w:r>
              <w:rPr>
                <w:rFonts w:hint="eastAsia"/>
                <w:sz w:val="21"/>
                <w:szCs w:val="21"/>
                <w:highlight w:val="none"/>
                <w:lang w:val="en-US" w:eastAsia="zh-CN"/>
              </w:rPr>
              <w:t>QB/T 2280-2016</w:t>
            </w:r>
          </w:p>
        </w:tc>
      </w:tr>
    </w:tbl>
    <w:p>
      <w:pPr>
        <w:adjustRightInd w:val="0"/>
        <w:snapToGrid w:val="0"/>
        <w:spacing w:line="440" w:lineRule="exact"/>
        <w:ind w:firstLine="420" w:firstLineChars="200"/>
        <w:rPr>
          <w:rFonts w:hint="eastAsia" w:ascii="宋体" w:hAnsi="宋体"/>
          <w:color w:val="000000"/>
          <w:szCs w:val="21"/>
        </w:rPr>
      </w:pPr>
      <w:r>
        <w:rPr>
          <w:rFonts w:hint="eastAsia"/>
          <w:color w:val="000000"/>
          <w:szCs w:val="21"/>
        </w:rPr>
        <w:t>执行企业标准、团体标准、地方标准的产品，检验项目参照上述内容执行。</w:t>
      </w:r>
    </w:p>
    <w:p>
      <w:pPr>
        <w:spacing w:line="440" w:lineRule="exact"/>
        <w:ind w:firstLine="420" w:firstLineChars="200"/>
        <w:rPr>
          <w:rFonts w:hint="eastAsia" w:ascii="宋体" w:hAnsi="宋体"/>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pPr>
        <w:spacing w:line="440" w:lineRule="exact"/>
        <w:rPr>
          <w:rFonts w:hint="eastAsia"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hint="eastAsia" w:ascii="宋体" w:hAnsi="宋体"/>
          <w:color w:val="000000"/>
          <w:szCs w:val="21"/>
        </w:rPr>
      </w:pPr>
      <w:r>
        <w:rPr>
          <w:rFonts w:hint="eastAsia" w:ascii="宋体" w:hAnsi="宋体"/>
          <w:color w:val="000000"/>
          <w:szCs w:val="21"/>
        </w:rPr>
        <w:t>3.1依据标准</w:t>
      </w:r>
    </w:p>
    <w:p>
      <w:pPr>
        <w:snapToGrid w:val="0"/>
        <w:spacing w:line="440" w:lineRule="exact"/>
        <w:ind w:firstLine="417" w:firstLineChars="199"/>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GB 17927.1-2011 软体家具 床垫和沙发 抗引燃特性的评定 第1部分：阴燃的香烟</w:t>
      </w:r>
    </w:p>
    <w:p>
      <w:pPr>
        <w:snapToGrid w:val="0"/>
        <w:spacing w:line="440" w:lineRule="exact"/>
        <w:ind w:left="420" w:leftChars="200" w:firstLine="0" w:firstLineChars="0"/>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GB 17927.2-2011 软体家具 床垫和沙发 抗引燃特性的评定 第2部分：模拟火柴火焰</w:t>
      </w:r>
    </w:p>
    <w:p>
      <w:pPr>
        <w:snapToGrid w:val="0"/>
        <w:spacing w:line="440" w:lineRule="exact"/>
        <w:ind w:firstLine="417" w:firstLineChars="199"/>
        <w:rPr>
          <w:rFonts w:hint="eastAsia" w:ascii="宋体" w:hAnsi="宋体" w:eastAsia="宋体" w:cs="Times New Roman"/>
          <w:color w:val="000000"/>
          <w:szCs w:val="21"/>
          <w:lang w:val="en-US" w:eastAsia="zh-CN"/>
        </w:rPr>
      </w:pPr>
      <w:r>
        <w:rPr>
          <w:rFonts w:hint="eastAsia" w:ascii="宋体" w:hAnsi="宋体" w:eastAsia="宋体" w:cs="Times New Roman"/>
          <w:color w:val="000000"/>
          <w:szCs w:val="21"/>
          <w:lang w:val="en-US" w:eastAsia="zh-CN"/>
        </w:rPr>
        <w:t>QB/T 2280-2016 办公家具 办公椅</w:t>
      </w:r>
    </w:p>
    <w:p>
      <w:pPr>
        <w:snapToGrid w:val="0"/>
        <w:spacing w:line="440" w:lineRule="exact"/>
        <w:ind w:left="420" w:leftChars="200" w:firstLine="0" w:firstLineChars="0"/>
        <w:rPr>
          <w:rFonts w:hint="eastAsia" w:ascii="宋体" w:hAnsi="宋体"/>
          <w:szCs w:val="21"/>
        </w:rPr>
      </w:pPr>
      <w:r>
        <w:rPr>
          <w:rFonts w:hint="eastAsia" w:ascii="宋体" w:hAnsi="宋体" w:eastAsia="宋体" w:cs="Times New Roman"/>
          <w:color w:val="000000"/>
          <w:szCs w:val="21"/>
          <w:lang w:val="en-US" w:eastAsia="zh-CN"/>
        </w:rPr>
        <w:t>相</w:t>
      </w:r>
      <w:r>
        <w:rPr>
          <w:rFonts w:hint="eastAsia" w:ascii="宋体" w:hAnsi="宋体"/>
          <w:szCs w:val="21"/>
        </w:rPr>
        <w:t>关的法律、行政法规、部门规章、规范性文件</w:t>
      </w:r>
    </w:p>
    <w:p>
      <w:pPr>
        <w:snapToGrid w:val="0"/>
        <w:spacing w:line="440" w:lineRule="exact"/>
        <w:ind w:firstLine="420" w:firstLineChars="200"/>
        <w:rPr>
          <w:rFonts w:hint="eastAsia" w:ascii="宋体" w:hAnsi="宋体"/>
          <w:szCs w:val="21"/>
        </w:rPr>
      </w:pPr>
      <w:r>
        <w:rPr>
          <w:rFonts w:hint="eastAsia" w:ascii="宋体" w:hAnsi="宋体"/>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w:t>
      </w:r>
      <w:r>
        <w:rPr>
          <w:rFonts w:hint="eastAsia"/>
          <w:color w:val="000000"/>
          <w:szCs w:val="21"/>
        </w:rPr>
        <w:t>所检项目未发现不</w:t>
      </w:r>
      <w:r>
        <w:rPr>
          <w:color w:val="000000"/>
          <w:szCs w:val="21"/>
        </w:rPr>
        <w:t>合格</w:t>
      </w:r>
      <w:r>
        <w:rPr>
          <w:rFonts w:hint="eastAsia" w:ascii="宋体" w:hAnsi="宋体"/>
          <w:color w:val="000000"/>
          <w:szCs w:val="21"/>
        </w:rPr>
        <w:t>；检验项目中任一项或一项以上不合格，判定为被抽查产品不合格。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szCs w:val="21"/>
        </w:rPr>
      </w:pPr>
      <w:r>
        <w:rPr>
          <w:rFonts w:hint="eastAsia" w:ascii="宋体" w:hAnsi="宋体"/>
          <w:color w:val="000000"/>
          <w:szCs w:val="21"/>
        </w:rPr>
        <w:t>若被检产品明示的质量要求缺少本细则中检验项目依据的推荐性标准要求时，该项目不参与判定。</w:t>
      </w:r>
    </w:p>
    <w:p>
      <w:pPr>
        <w:snapToGrid w:val="0"/>
        <w:spacing w:line="440" w:lineRule="exact"/>
        <w:ind w:firstLine="417" w:firstLineChars="199"/>
        <w:rPr>
          <w:rFonts w:ascii="宋体" w:hAnsi="宋体"/>
          <w:color w:val="000000"/>
          <w:szCs w:val="21"/>
        </w:rPr>
      </w:pP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9A971CB-EBFE-4DB6-950D-F26E4B5B36F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00000000000000000"/>
    <w:charset w:val="86"/>
    <w:family w:val="auto"/>
    <w:pitch w:val="default"/>
    <w:sig w:usb0="00000001" w:usb1="08000000" w:usb2="00000000" w:usb3="00000000" w:csb0="00040000" w:csb1="00000000"/>
    <w:embedRegular r:id="rId2" w:fontKey="{BA49AC2A-7CE6-41EB-AF81-FABC48EA5A01}"/>
  </w:font>
  <w:font w:name="仿宋">
    <w:panose1 w:val="02010609060101010101"/>
    <w:charset w:val="86"/>
    <w:family w:val="modern"/>
    <w:pitch w:val="default"/>
    <w:sig w:usb0="800002BF" w:usb1="38CF7CFA" w:usb2="00000016" w:usb3="00000000" w:csb0="00040001" w:csb1="00000000"/>
    <w:embedRegular r:id="rId3" w:fontKey="{8C9D7AAF-7C9B-48C3-BB4D-FA09948087BC}"/>
  </w:font>
  <w:font w:name="方正仿宋简体">
    <w:panose1 w:val="02000000000000000000"/>
    <w:charset w:val="86"/>
    <w:family w:val="auto"/>
    <w:pitch w:val="default"/>
    <w:sig w:usb0="A00002BF" w:usb1="184F6CFA" w:usb2="00000012" w:usb3="00000000" w:csb0="00040001" w:csb1="00000000"/>
    <w:embedRegular r:id="rId4" w:fontKey="{6FC13904-8CE5-43CE-A87D-D6555028525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yNTU5MTczYzc3NzBjMWQ1MDM5MmNiMDM2YjgyMjQifQ=="/>
  </w:docVars>
  <w:rsids>
    <w:rsidRoot w:val="00172A27"/>
    <w:rsid w:val="000123E2"/>
    <w:rsid w:val="00035BA2"/>
    <w:rsid w:val="00051A44"/>
    <w:rsid w:val="00054A4B"/>
    <w:rsid w:val="000678BE"/>
    <w:rsid w:val="00074DC0"/>
    <w:rsid w:val="00081CBD"/>
    <w:rsid w:val="00090E01"/>
    <w:rsid w:val="000934D1"/>
    <w:rsid w:val="000976DE"/>
    <w:rsid w:val="000A52E9"/>
    <w:rsid w:val="000C79D2"/>
    <w:rsid w:val="000D1505"/>
    <w:rsid w:val="000F78DC"/>
    <w:rsid w:val="00122937"/>
    <w:rsid w:val="00125FD4"/>
    <w:rsid w:val="00156E7D"/>
    <w:rsid w:val="00175E5C"/>
    <w:rsid w:val="001809DD"/>
    <w:rsid w:val="00184CAD"/>
    <w:rsid w:val="001A0011"/>
    <w:rsid w:val="001A37B6"/>
    <w:rsid w:val="001C2C9A"/>
    <w:rsid w:val="001C6F26"/>
    <w:rsid w:val="001D65A4"/>
    <w:rsid w:val="001D7711"/>
    <w:rsid w:val="001E7B13"/>
    <w:rsid w:val="001F3529"/>
    <w:rsid w:val="001F6777"/>
    <w:rsid w:val="001F74EA"/>
    <w:rsid w:val="00232530"/>
    <w:rsid w:val="0023796F"/>
    <w:rsid w:val="00246E24"/>
    <w:rsid w:val="0025336F"/>
    <w:rsid w:val="00253624"/>
    <w:rsid w:val="002629C0"/>
    <w:rsid w:val="00265C22"/>
    <w:rsid w:val="00272ACD"/>
    <w:rsid w:val="0028762F"/>
    <w:rsid w:val="002B2C77"/>
    <w:rsid w:val="002D7F8A"/>
    <w:rsid w:val="002E0D1D"/>
    <w:rsid w:val="002E58C0"/>
    <w:rsid w:val="002F3B57"/>
    <w:rsid w:val="003203A3"/>
    <w:rsid w:val="00342E13"/>
    <w:rsid w:val="00355EA3"/>
    <w:rsid w:val="003755EA"/>
    <w:rsid w:val="00381C2E"/>
    <w:rsid w:val="003936F6"/>
    <w:rsid w:val="003A4A28"/>
    <w:rsid w:val="003C388C"/>
    <w:rsid w:val="003C5FEF"/>
    <w:rsid w:val="003D5080"/>
    <w:rsid w:val="003E178C"/>
    <w:rsid w:val="003E61BF"/>
    <w:rsid w:val="003E7C35"/>
    <w:rsid w:val="00425578"/>
    <w:rsid w:val="00445E86"/>
    <w:rsid w:val="00474E04"/>
    <w:rsid w:val="0047624E"/>
    <w:rsid w:val="00494E03"/>
    <w:rsid w:val="004A13E3"/>
    <w:rsid w:val="004D0C5A"/>
    <w:rsid w:val="004E1396"/>
    <w:rsid w:val="004E6CE3"/>
    <w:rsid w:val="00542E92"/>
    <w:rsid w:val="00543C1A"/>
    <w:rsid w:val="0055508D"/>
    <w:rsid w:val="00556CB2"/>
    <w:rsid w:val="00563EBC"/>
    <w:rsid w:val="00587A52"/>
    <w:rsid w:val="0059720E"/>
    <w:rsid w:val="005A10E6"/>
    <w:rsid w:val="005A3FD0"/>
    <w:rsid w:val="005B5146"/>
    <w:rsid w:val="0060563E"/>
    <w:rsid w:val="00630D32"/>
    <w:rsid w:val="006469F2"/>
    <w:rsid w:val="00663C36"/>
    <w:rsid w:val="00672F80"/>
    <w:rsid w:val="006E1171"/>
    <w:rsid w:val="006F0971"/>
    <w:rsid w:val="007028AE"/>
    <w:rsid w:val="0072334C"/>
    <w:rsid w:val="007252B9"/>
    <w:rsid w:val="00772D94"/>
    <w:rsid w:val="007855FE"/>
    <w:rsid w:val="00786D20"/>
    <w:rsid w:val="007A0B6A"/>
    <w:rsid w:val="007E2BC1"/>
    <w:rsid w:val="007F4084"/>
    <w:rsid w:val="00807319"/>
    <w:rsid w:val="00813A1E"/>
    <w:rsid w:val="00860E11"/>
    <w:rsid w:val="0086179B"/>
    <w:rsid w:val="00891C13"/>
    <w:rsid w:val="00895BEA"/>
    <w:rsid w:val="008A3497"/>
    <w:rsid w:val="008B2666"/>
    <w:rsid w:val="00917A54"/>
    <w:rsid w:val="00924343"/>
    <w:rsid w:val="009255A7"/>
    <w:rsid w:val="0093191F"/>
    <w:rsid w:val="00945662"/>
    <w:rsid w:val="009553CF"/>
    <w:rsid w:val="00977EB2"/>
    <w:rsid w:val="0099113B"/>
    <w:rsid w:val="009C5EA7"/>
    <w:rsid w:val="00A010F7"/>
    <w:rsid w:val="00A016E7"/>
    <w:rsid w:val="00A04E3B"/>
    <w:rsid w:val="00A379E7"/>
    <w:rsid w:val="00A43553"/>
    <w:rsid w:val="00A812F8"/>
    <w:rsid w:val="00AA26E0"/>
    <w:rsid w:val="00AC5391"/>
    <w:rsid w:val="00AE043A"/>
    <w:rsid w:val="00AE4CD4"/>
    <w:rsid w:val="00AF52DF"/>
    <w:rsid w:val="00AF5961"/>
    <w:rsid w:val="00B01D15"/>
    <w:rsid w:val="00B1140D"/>
    <w:rsid w:val="00B410D2"/>
    <w:rsid w:val="00B44494"/>
    <w:rsid w:val="00B7281B"/>
    <w:rsid w:val="00B72C5A"/>
    <w:rsid w:val="00BA198B"/>
    <w:rsid w:val="00BA2111"/>
    <w:rsid w:val="00BB0A4E"/>
    <w:rsid w:val="00BE1AF3"/>
    <w:rsid w:val="00BF2B8C"/>
    <w:rsid w:val="00C23654"/>
    <w:rsid w:val="00C26074"/>
    <w:rsid w:val="00C41D4F"/>
    <w:rsid w:val="00C83B0A"/>
    <w:rsid w:val="00C90544"/>
    <w:rsid w:val="00C90AC0"/>
    <w:rsid w:val="00CA6EF4"/>
    <w:rsid w:val="00CC7E64"/>
    <w:rsid w:val="00CD210B"/>
    <w:rsid w:val="00CE1E0C"/>
    <w:rsid w:val="00CE277E"/>
    <w:rsid w:val="00CF29DB"/>
    <w:rsid w:val="00D145B4"/>
    <w:rsid w:val="00D21C48"/>
    <w:rsid w:val="00D25A19"/>
    <w:rsid w:val="00D53996"/>
    <w:rsid w:val="00D56867"/>
    <w:rsid w:val="00D608D5"/>
    <w:rsid w:val="00D71BF6"/>
    <w:rsid w:val="00D74E38"/>
    <w:rsid w:val="00D95581"/>
    <w:rsid w:val="00DB441E"/>
    <w:rsid w:val="00DE4E16"/>
    <w:rsid w:val="00E02A7F"/>
    <w:rsid w:val="00E07880"/>
    <w:rsid w:val="00E12638"/>
    <w:rsid w:val="00E16C22"/>
    <w:rsid w:val="00E4539C"/>
    <w:rsid w:val="00E52874"/>
    <w:rsid w:val="00E82621"/>
    <w:rsid w:val="00E971EC"/>
    <w:rsid w:val="00EA44EB"/>
    <w:rsid w:val="00ED5570"/>
    <w:rsid w:val="00EE0CED"/>
    <w:rsid w:val="00EF4941"/>
    <w:rsid w:val="00F038D1"/>
    <w:rsid w:val="00F23E70"/>
    <w:rsid w:val="00F4374B"/>
    <w:rsid w:val="00F53A4D"/>
    <w:rsid w:val="00F5617D"/>
    <w:rsid w:val="00F77C9A"/>
    <w:rsid w:val="00F80551"/>
    <w:rsid w:val="00F91BEE"/>
    <w:rsid w:val="00FB0BF1"/>
    <w:rsid w:val="00FB16D4"/>
    <w:rsid w:val="00FB576C"/>
    <w:rsid w:val="00FC3466"/>
    <w:rsid w:val="00FD2AA6"/>
    <w:rsid w:val="00FE488C"/>
    <w:rsid w:val="00FE7E8A"/>
    <w:rsid w:val="00FF2119"/>
    <w:rsid w:val="037457E1"/>
    <w:rsid w:val="039A29B4"/>
    <w:rsid w:val="03B44B04"/>
    <w:rsid w:val="044805D3"/>
    <w:rsid w:val="04790728"/>
    <w:rsid w:val="0DEF13FE"/>
    <w:rsid w:val="0F5012C7"/>
    <w:rsid w:val="0F93343F"/>
    <w:rsid w:val="0FC44D35"/>
    <w:rsid w:val="167728FD"/>
    <w:rsid w:val="173B556C"/>
    <w:rsid w:val="20B5148E"/>
    <w:rsid w:val="22442554"/>
    <w:rsid w:val="26A169CC"/>
    <w:rsid w:val="284827A1"/>
    <w:rsid w:val="2D1A5EAD"/>
    <w:rsid w:val="2D21366F"/>
    <w:rsid w:val="2F2B6C52"/>
    <w:rsid w:val="36127758"/>
    <w:rsid w:val="363653AF"/>
    <w:rsid w:val="387C5747"/>
    <w:rsid w:val="3C603014"/>
    <w:rsid w:val="40D2460A"/>
    <w:rsid w:val="432E347E"/>
    <w:rsid w:val="44571C60"/>
    <w:rsid w:val="45371C4C"/>
    <w:rsid w:val="490C0EF7"/>
    <w:rsid w:val="4A4A03BA"/>
    <w:rsid w:val="4B0A48AF"/>
    <w:rsid w:val="4D1D0D4D"/>
    <w:rsid w:val="4D9B51BF"/>
    <w:rsid w:val="4F3B738B"/>
    <w:rsid w:val="51CB1708"/>
    <w:rsid w:val="54224023"/>
    <w:rsid w:val="57176FF6"/>
    <w:rsid w:val="58075E4C"/>
    <w:rsid w:val="593A1383"/>
    <w:rsid w:val="5D2B0C71"/>
    <w:rsid w:val="5E801686"/>
    <w:rsid w:val="605A3CA3"/>
    <w:rsid w:val="61D27669"/>
    <w:rsid w:val="621569FE"/>
    <w:rsid w:val="64C36492"/>
    <w:rsid w:val="6817125A"/>
    <w:rsid w:val="68332398"/>
    <w:rsid w:val="68B46239"/>
    <w:rsid w:val="6BC431CB"/>
    <w:rsid w:val="6C2F0031"/>
    <w:rsid w:val="6C727B74"/>
    <w:rsid w:val="6F34087B"/>
    <w:rsid w:val="704C6DBB"/>
    <w:rsid w:val="74584206"/>
    <w:rsid w:val="754C04C8"/>
    <w:rsid w:val="75D157CD"/>
    <w:rsid w:val="763A7564"/>
    <w:rsid w:val="77D54CD0"/>
    <w:rsid w:val="7BAC54D6"/>
    <w:rsid w:val="7E3353C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spacing w:after="120" w:afterLines="0" w:afterAutospacing="0" w:line="240" w:lineRule="auto"/>
      <w:ind w:left="420" w:leftChars="200" w:firstLine="420" w:firstLineChars="200"/>
    </w:pPr>
    <w:rPr>
      <w:sz w:val="21"/>
    </w:rPr>
  </w:style>
  <w:style w:type="paragraph" w:styleId="3">
    <w:name w:val="Body Text Indent"/>
    <w:basedOn w:val="1"/>
    <w:qFormat/>
    <w:uiPriority w:val="0"/>
    <w:pPr>
      <w:spacing w:after="120"/>
      <w:ind w:left="420" w:leftChars="200"/>
    </w:pPr>
  </w:style>
  <w:style w:type="paragraph" w:styleId="4">
    <w:name w:val="Balloon Text"/>
    <w:basedOn w:val="1"/>
    <w:link w:val="11"/>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Arial Unicode MS" w:hAnsi="Arial Unicode MS" w:eastAsia="Arial Unicode MS" w:cs="Arial Unicode MS"/>
      <w:kern w:val="0"/>
      <w:sz w:val="24"/>
    </w:rPr>
  </w:style>
  <w:style w:type="character" w:styleId="10">
    <w:name w:val="page number"/>
    <w:basedOn w:val="9"/>
    <w:qFormat/>
    <w:uiPriority w:val="0"/>
  </w:style>
  <w:style w:type="character" w:customStyle="1" w:styleId="11">
    <w:name w:val="批注框文本 Char"/>
    <w:link w:val="4"/>
    <w:semiHidden/>
    <w:qFormat/>
    <w:uiPriority w:val="99"/>
    <w:rPr>
      <w:kern w:val="2"/>
      <w:sz w:val="18"/>
      <w:szCs w:val="18"/>
    </w:rPr>
  </w:style>
  <w:style w:type="character" w:customStyle="1" w:styleId="12">
    <w:name w:val="页脚 Char"/>
    <w:link w:val="5"/>
    <w:qFormat/>
    <w:uiPriority w:val="99"/>
    <w:rPr>
      <w:kern w:val="2"/>
      <w:sz w:val="18"/>
      <w:szCs w:val="18"/>
    </w:rPr>
  </w:style>
  <w:style w:type="character" w:customStyle="1" w:styleId="13">
    <w:name w:val="页眉 Char"/>
    <w:link w:val="6"/>
    <w:semiHidden/>
    <w:qFormat/>
    <w:uiPriority w:val="99"/>
    <w:rPr>
      <w:kern w:val="2"/>
      <w:sz w:val="18"/>
      <w:szCs w:val="18"/>
    </w:rPr>
  </w:style>
  <w:style w:type="paragraph" w:customStyle="1" w:styleId="14">
    <w:name w:val="列出段落1"/>
    <w:basedOn w:val="1"/>
    <w:qFormat/>
    <w:uiPriority w:val="34"/>
    <w:pPr>
      <w:ind w:firstLine="420" w:firstLineChars="200"/>
    </w:pPr>
    <w:rPr>
      <w:rFonts w:ascii="Calibri" w:hAnsi="Calibri"/>
      <w:szCs w:val="22"/>
    </w:rPr>
  </w:style>
  <w:style w:type="paragraph" w:customStyle="1" w:styleId="15">
    <w:name w:val="标准正文"/>
    <w:basedOn w:val="3"/>
    <w:qFormat/>
    <w:uiPriority w:val="0"/>
    <w:pPr>
      <w:spacing w:before="60" w:after="60" w:line="360" w:lineRule="auto"/>
      <w:ind w:left="0" w:leftChars="0" w:firstLine="482"/>
      <w:jc w:val="left"/>
    </w:pPr>
    <w:rPr>
      <w:rFonts w:ascii="Arial" w:hAnsi="Arial"/>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Legend (Beijing) Limited</Company>
  <Pages>2</Pages>
  <Words>731</Words>
  <Characters>896</Characters>
  <Lines>12</Lines>
  <Paragraphs>3</Paragraphs>
  <TotalTime>5</TotalTime>
  <ScaleCrop>false</ScaleCrop>
  <LinksUpToDate>false</LinksUpToDate>
  <CharactersWithSpaces>924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2023-04-06T12:09:00Z</dcterms:created>
  <dc:creator>Legend User</dc:creator>
  <cp:lastModifiedBy>聞風</cp:lastModifiedBy>
  <cp:lastPrinted>2019-12-05T07:53:00Z</cp:lastPrinted>
  <dcterms:modified xsi:type="dcterms:W3CDTF">2024-06-30T01:49:08Z</dcterms:modified>
  <dc:title>××产品质量监督抽查实施细则</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06C4B6D8218C42C7957DBE11AE6D1140_13</vt:lpwstr>
  </property>
</Properties>
</file>