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65CA">
      <w:pPr>
        <w:adjustRightInd w:val="0"/>
        <w:snapToGrid w:val="0"/>
        <w:spacing w:line="440" w:lineRule="exact"/>
        <w:jc w:val="center"/>
        <w:rPr>
          <w:rFonts w:hint="eastAsia" w:ascii="宋体" w:hAnsi="宋体" w:eastAsia="宋体" w:cs="宋体"/>
          <w:i w:val="0"/>
          <w:iCs w:val="0"/>
          <w:color w:val="000000"/>
          <w:sz w:val="32"/>
          <w:szCs w:val="32"/>
        </w:rPr>
      </w:pPr>
      <w:r>
        <w:rPr>
          <w:rFonts w:hint="eastAsia" w:ascii="宋体" w:hAnsi="宋体" w:cs="宋体"/>
          <w:i w:val="0"/>
          <w:iCs w:val="0"/>
          <w:color w:val="000000"/>
          <w:sz w:val="32"/>
          <w:szCs w:val="32"/>
          <w:lang w:val="en-US" w:eastAsia="zh-CN"/>
        </w:rPr>
        <w:t>装饰</w:t>
      </w:r>
      <w:r>
        <w:rPr>
          <w:rFonts w:hint="eastAsia" w:ascii="宋体" w:hAnsi="宋体" w:eastAsia="宋体" w:cs="宋体"/>
          <w:i w:val="0"/>
          <w:iCs w:val="0"/>
          <w:color w:val="000000"/>
          <w:sz w:val="32"/>
          <w:szCs w:val="32"/>
        </w:rPr>
        <w:t>石膏板产品质量监督抽查实施细则</w:t>
      </w:r>
    </w:p>
    <w:p w14:paraId="012AE8F4">
      <w:pPr>
        <w:snapToGrid w:val="0"/>
        <w:spacing w:line="440" w:lineRule="exact"/>
        <w:jc w:val="center"/>
        <w:rPr>
          <w:rFonts w:hint="eastAsia" w:ascii="宋体" w:hAnsi="宋体" w:eastAsia="宋体" w:cs="宋体"/>
          <w:i w:val="0"/>
          <w:iCs w:val="0"/>
          <w:color w:val="000000"/>
          <w:sz w:val="32"/>
          <w:szCs w:val="32"/>
        </w:rPr>
      </w:pPr>
      <w:r>
        <w:rPr>
          <w:rFonts w:hint="eastAsia" w:ascii="宋体" w:hAnsi="宋体" w:eastAsia="宋体" w:cs="宋体"/>
          <w:i w:val="0"/>
          <w:iCs w:val="0"/>
          <w:color w:val="000000"/>
          <w:sz w:val="32"/>
          <w:szCs w:val="32"/>
        </w:rPr>
        <w:t>（2024年版）</w:t>
      </w:r>
    </w:p>
    <w:p w14:paraId="663781B3">
      <w:pPr>
        <w:adjustRightInd w:val="0"/>
        <w:snapToGrid w:val="0"/>
        <w:spacing w:line="440" w:lineRule="exact"/>
        <w:jc w:val="center"/>
        <w:rPr>
          <w:rFonts w:eastAsia="方正小标宋简体"/>
          <w:color w:val="000000"/>
          <w:sz w:val="32"/>
          <w:szCs w:val="32"/>
        </w:rPr>
      </w:pPr>
    </w:p>
    <w:p w14:paraId="7A779E8B">
      <w:pPr>
        <w:snapToGrid w:val="0"/>
        <w:spacing w:line="440" w:lineRule="exact"/>
        <w:rPr>
          <w:rFonts w:eastAsia="黑体"/>
          <w:color w:val="000000"/>
          <w:szCs w:val="21"/>
        </w:rPr>
      </w:pPr>
      <w:r>
        <w:rPr>
          <w:rFonts w:eastAsia="黑体"/>
          <w:color w:val="000000"/>
          <w:szCs w:val="21"/>
        </w:rPr>
        <w:t>1 抽样方法</w:t>
      </w:r>
    </w:p>
    <w:p w14:paraId="3D70705F">
      <w:pPr>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14:paraId="641C94B2">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14:paraId="21D6C95E">
      <w:pPr>
        <w:snapToGrid w:val="0"/>
        <w:spacing w:line="440" w:lineRule="exact"/>
        <w:ind w:firstLine="420" w:firstLineChars="200"/>
        <w:rPr>
          <w:color w:val="000000"/>
          <w:szCs w:val="21"/>
        </w:rPr>
      </w:pPr>
      <w:r>
        <w:rPr>
          <w:rFonts w:hint="eastAsia"/>
          <w:color w:val="000000"/>
          <w:szCs w:val="21"/>
        </w:rPr>
        <w:t>每批次产品抽取样品</w:t>
      </w:r>
      <w:r>
        <w:rPr>
          <w:rFonts w:hint="eastAsia"/>
          <w:color w:val="000000"/>
          <w:szCs w:val="21"/>
          <w:lang w:val="en-US" w:eastAsia="zh-CN"/>
        </w:rPr>
        <w:t>40块</w:t>
      </w:r>
      <w:r>
        <w:rPr>
          <w:rFonts w:hint="eastAsia"/>
          <w:color w:val="000000"/>
          <w:szCs w:val="21"/>
        </w:rPr>
        <w:t>，其中</w:t>
      </w:r>
      <w:r>
        <w:rPr>
          <w:rFonts w:hint="eastAsia"/>
          <w:color w:val="000000"/>
          <w:szCs w:val="21"/>
          <w:lang w:val="en-US" w:eastAsia="zh-CN"/>
        </w:rPr>
        <w:t>20块</w:t>
      </w:r>
      <w:r>
        <w:rPr>
          <w:rFonts w:hint="eastAsia"/>
          <w:color w:val="000000"/>
          <w:szCs w:val="21"/>
        </w:rPr>
        <w:t>作为检验样品，</w:t>
      </w:r>
      <w:r>
        <w:rPr>
          <w:rFonts w:hint="eastAsia"/>
          <w:color w:val="000000"/>
          <w:szCs w:val="21"/>
          <w:lang w:val="en-US" w:eastAsia="zh-CN"/>
        </w:rPr>
        <w:t>20块</w:t>
      </w:r>
      <w:r>
        <w:rPr>
          <w:rFonts w:hint="eastAsia"/>
          <w:color w:val="000000"/>
          <w:szCs w:val="21"/>
        </w:rPr>
        <w:t>作为备用样品。</w:t>
      </w:r>
    </w:p>
    <w:p w14:paraId="47F7DD9C">
      <w:pPr>
        <w:snapToGrid w:val="0"/>
        <w:spacing w:line="440" w:lineRule="exact"/>
        <w:rPr>
          <w:rFonts w:eastAsia="黑体"/>
          <w:color w:val="000000"/>
          <w:szCs w:val="21"/>
        </w:rPr>
      </w:pPr>
      <w:r>
        <w:rPr>
          <w:rFonts w:eastAsia="黑体"/>
          <w:color w:val="000000"/>
          <w:szCs w:val="21"/>
        </w:rPr>
        <w:t>2 检验依据</w:t>
      </w:r>
    </w:p>
    <w:p w14:paraId="0AFD87EF">
      <w:pPr>
        <w:snapToGrid w:val="0"/>
        <w:spacing w:line="440" w:lineRule="exact"/>
        <w:rPr>
          <w:rFonts w:eastAsia="黑体"/>
          <w:color w:val="000000"/>
          <w:szCs w:val="21"/>
        </w:rPr>
      </w:pPr>
    </w:p>
    <w:tbl>
      <w:tblPr>
        <w:tblStyle w:val="9"/>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4988"/>
        <w:gridCol w:w="3493"/>
      </w:tblGrid>
      <w:tr w14:paraId="1A280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B54A2A2">
            <w:pPr>
              <w:jc w:val="center"/>
              <w:rPr>
                <w:szCs w:val="21"/>
              </w:rPr>
            </w:pPr>
            <w:r>
              <w:rPr>
                <w:szCs w:val="21"/>
              </w:rPr>
              <w:t>序号</w:t>
            </w:r>
          </w:p>
        </w:tc>
        <w:tc>
          <w:tcPr>
            <w:tcW w:w="4988" w:type="dxa"/>
            <w:vAlign w:val="center"/>
          </w:tcPr>
          <w:p w14:paraId="38EFED47">
            <w:pPr>
              <w:jc w:val="center"/>
              <w:rPr>
                <w:color w:val="auto"/>
                <w:szCs w:val="21"/>
              </w:rPr>
            </w:pPr>
            <w:r>
              <w:rPr>
                <w:color w:val="auto"/>
                <w:szCs w:val="21"/>
              </w:rPr>
              <w:t>检验项目</w:t>
            </w:r>
          </w:p>
        </w:tc>
        <w:tc>
          <w:tcPr>
            <w:tcW w:w="3493" w:type="dxa"/>
            <w:vAlign w:val="center"/>
          </w:tcPr>
          <w:p w14:paraId="676EA11F">
            <w:pPr>
              <w:jc w:val="center"/>
              <w:rPr>
                <w:szCs w:val="21"/>
              </w:rPr>
            </w:pPr>
            <w:r>
              <w:rPr>
                <w:szCs w:val="21"/>
              </w:rPr>
              <w:t>检验方法</w:t>
            </w:r>
          </w:p>
        </w:tc>
      </w:tr>
      <w:tr w14:paraId="3BE8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44ECDE7F">
            <w:pPr>
              <w:jc w:val="center"/>
              <w:rPr>
                <w:rFonts w:hint="eastAsia" w:eastAsia="宋体"/>
                <w:szCs w:val="21"/>
                <w:lang w:val="en-US" w:eastAsia="zh-CN"/>
              </w:rPr>
            </w:pPr>
            <w:r>
              <w:rPr>
                <w:rFonts w:hint="eastAsia"/>
                <w:szCs w:val="21"/>
                <w:lang w:val="en-US" w:eastAsia="zh-CN"/>
              </w:rPr>
              <w:t>1</w:t>
            </w:r>
          </w:p>
        </w:tc>
        <w:tc>
          <w:tcPr>
            <w:tcW w:w="4988" w:type="dxa"/>
            <w:vAlign w:val="center"/>
          </w:tcPr>
          <w:p w14:paraId="084F430C">
            <w:pPr>
              <w:bidi w:val="0"/>
              <w:jc w:val="center"/>
              <w:rPr>
                <w:color w:val="auto"/>
                <w:szCs w:val="21"/>
              </w:rPr>
            </w:pPr>
            <w:r>
              <w:rPr>
                <w:rFonts w:hint="eastAsia" w:ascii="宋体" w:hAnsi="宋体" w:eastAsia="宋体" w:cs="宋体"/>
                <w:color w:val="auto"/>
                <w:sz w:val="21"/>
                <w:szCs w:val="21"/>
                <w:highlight w:val="none"/>
                <w:lang w:val="en-US" w:eastAsia="zh-CN"/>
              </w:rPr>
              <w:t>单位面积质量</w:t>
            </w:r>
          </w:p>
        </w:tc>
        <w:tc>
          <w:tcPr>
            <w:tcW w:w="3493" w:type="dxa"/>
            <w:vMerge w:val="restart"/>
            <w:vAlign w:val="center"/>
          </w:tcPr>
          <w:p w14:paraId="2C043A34">
            <w:pPr>
              <w:jc w:val="center"/>
              <w:rPr>
                <w:szCs w:val="21"/>
              </w:rPr>
            </w:pPr>
            <w:r>
              <w:rPr>
                <w:rFonts w:hint="eastAsia"/>
                <w:color w:val="000000"/>
                <w:szCs w:val="21"/>
              </w:rPr>
              <w:t>JC/T 799-2016</w:t>
            </w:r>
          </w:p>
        </w:tc>
      </w:tr>
      <w:tr w14:paraId="4D873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6E46E042">
            <w:pPr>
              <w:jc w:val="center"/>
              <w:rPr>
                <w:rFonts w:hint="eastAsia" w:eastAsia="宋体"/>
                <w:szCs w:val="21"/>
                <w:lang w:val="en-US" w:eastAsia="zh-CN"/>
              </w:rPr>
            </w:pPr>
            <w:r>
              <w:rPr>
                <w:rFonts w:hint="eastAsia"/>
                <w:szCs w:val="21"/>
                <w:lang w:val="en-US" w:eastAsia="zh-CN"/>
              </w:rPr>
              <w:t>2</w:t>
            </w:r>
          </w:p>
        </w:tc>
        <w:tc>
          <w:tcPr>
            <w:tcW w:w="4988" w:type="dxa"/>
            <w:vAlign w:val="center"/>
          </w:tcPr>
          <w:p w14:paraId="16DCF59C">
            <w:pPr>
              <w:bidi w:val="0"/>
              <w:jc w:val="center"/>
              <w:rPr>
                <w:color w:val="auto"/>
                <w:szCs w:val="21"/>
              </w:rPr>
            </w:pPr>
            <w:r>
              <w:rPr>
                <w:rFonts w:hint="eastAsia" w:ascii="宋体" w:hAnsi="宋体" w:eastAsia="宋体" w:cs="宋体"/>
                <w:color w:val="auto"/>
                <w:sz w:val="21"/>
                <w:szCs w:val="21"/>
                <w:highlight w:val="none"/>
                <w:lang w:val="en-US" w:eastAsia="zh-CN"/>
              </w:rPr>
              <w:t>含水率</w:t>
            </w:r>
          </w:p>
        </w:tc>
        <w:tc>
          <w:tcPr>
            <w:tcW w:w="3493" w:type="dxa"/>
            <w:vMerge w:val="continue"/>
            <w:vAlign w:val="center"/>
          </w:tcPr>
          <w:p w14:paraId="4B842FEF">
            <w:pPr>
              <w:jc w:val="center"/>
              <w:rPr>
                <w:szCs w:val="21"/>
              </w:rPr>
            </w:pPr>
          </w:p>
        </w:tc>
      </w:tr>
      <w:tr w14:paraId="0610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412E327">
            <w:pPr>
              <w:jc w:val="center"/>
              <w:rPr>
                <w:rFonts w:hint="eastAsia" w:eastAsia="宋体"/>
                <w:szCs w:val="21"/>
                <w:lang w:val="en-US" w:eastAsia="zh-CN"/>
              </w:rPr>
            </w:pPr>
            <w:r>
              <w:rPr>
                <w:rFonts w:hint="eastAsia"/>
                <w:szCs w:val="21"/>
                <w:lang w:val="en-US" w:eastAsia="zh-CN"/>
              </w:rPr>
              <w:t>3</w:t>
            </w:r>
          </w:p>
        </w:tc>
        <w:tc>
          <w:tcPr>
            <w:tcW w:w="4988" w:type="dxa"/>
            <w:vAlign w:val="center"/>
          </w:tcPr>
          <w:p w14:paraId="77640F84">
            <w:pPr>
              <w:bidi w:val="0"/>
              <w:jc w:val="center"/>
              <w:rPr>
                <w:color w:val="auto"/>
                <w:szCs w:val="21"/>
              </w:rPr>
            </w:pPr>
            <w:r>
              <w:rPr>
                <w:rFonts w:hint="eastAsia" w:ascii="宋体" w:hAnsi="宋体" w:eastAsia="宋体" w:cs="宋体"/>
                <w:color w:val="auto"/>
                <w:sz w:val="21"/>
                <w:szCs w:val="21"/>
                <w:highlight w:val="none"/>
                <w:lang w:val="en-US" w:eastAsia="zh-CN"/>
              </w:rPr>
              <w:t>燃烧性能</w:t>
            </w:r>
          </w:p>
        </w:tc>
        <w:tc>
          <w:tcPr>
            <w:tcW w:w="3493" w:type="dxa"/>
            <w:vAlign w:val="center"/>
          </w:tcPr>
          <w:p w14:paraId="2236B1E6">
            <w:pPr>
              <w:jc w:val="center"/>
              <w:rPr>
                <w:rFonts w:hint="default" w:eastAsia="宋体"/>
                <w:szCs w:val="21"/>
                <w:lang w:val="en-US" w:eastAsia="zh-CN"/>
              </w:rPr>
            </w:pPr>
            <w:r>
              <w:rPr>
                <w:rFonts w:hint="eastAsia"/>
                <w:szCs w:val="21"/>
                <w:lang w:val="en-US" w:eastAsia="zh-CN"/>
              </w:rPr>
              <w:t>GB 8624-2012</w:t>
            </w:r>
          </w:p>
        </w:tc>
      </w:tr>
      <w:tr w14:paraId="00D29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1EEF81AE">
            <w:pPr>
              <w:jc w:val="center"/>
              <w:rPr>
                <w:rFonts w:hint="eastAsia" w:eastAsia="宋体"/>
                <w:szCs w:val="21"/>
                <w:lang w:val="en-US" w:eastAsia="zh-CN"/>
              </w:rPr>
            </w:pPr>
            <w:r>
              <w:rPr>
                <w:rFonts w:hint="eastAsia"/>
                <w:szCs w:val="21"/>
                <w:lang w:val="en-US" w:eastAsia="zh-CN"/>
              </w:rPr>
              <w:t>4</w:t>
            </w:r>
          </w:p>
        </w:tc>
        <w:tc>
          <w:tcPr>
            <w:tcW w:w="4988" w:type="dxa"/>
            <w:vAlign w:val="center"/>
          </w:tcPr>
          <w:p w14:paraId="273BCBB4">
            <w:pPr>
              <w:bidi w:val="0"/>
              <w:jc w:val="center"/>
              <w:rPr>
                <w:color w:val="auto"/>
                <w:szCs w:val="21"/>
              </w:rPr>
            </w:pPr>
            <w:r>
              <w:rPr>
                <w:rFonts w:hint="eastAsia" w:ascii="宋体" w:hAnsi="宋体" w:eastAsia="宋体" w:cs="宋体"/>
                <w:color w:val="auto"/>
                <w:sz w:val="21"/>
                <w:szCs w:val="21"/>
                <w:highlight w:val="none"/>
                <w:lang w:val="en-US" w:eastAsia="zh-CN"/>
              </w:rPr>
              <w:t>断裂荷载</w:t>
            </w:r>
          </w:p>
        </w:tc>
        <w:tc>
          <w:tcPr>
            <w:tcW w:w="3493" w:type="dxa"/>
            <w:vMerge w:val="restart"/>
            <w:vAlign w:val="center"/>
          </w:tcPr>
          <w:p w14:paraId="4F545C5F">
            <w:pPr>
              <w:jc w:val="center"/>
              <w:rPr>
                <w:szCs w:val="21"/>
              </w:rPr>
            </w:pPr>
            <w:r>
              <w:rPr>
                <w:rFonts w:hint="eastAsia"/>
                <w:color w:val="000000"/>
                <w:szCs w:val="21"/>
              </w:rPr>
              <w:t>JC/T 799-2016</w:t>
            </w:r>
          </w:p>
        </w:tc>
      </w:tr>
      <w:tr w14:paraId="6973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0E69067">
            <w:pPr>
              <w:jc w:val="center"/>
              <w:rPr>
                <w:rFonts w:hint="eastAsia" w:eastAsia="宋体"/>
                <w:szCs w:val="21"/>
                <w:lang w:val="en-US" w:eastAsia="zh-CN"/>
              </w:rPr>
            </w:pPr>
            <w:r>
              <w:rPr>
                <w:rFonts w:hint="eastAsia"/>
                <w:szCs w:val="21"/>
                <w:lang w:val="en-US" w:eastAsia="zh-CN"/>
              </w:rPr>
              <w:t>5</w:t>
            </w:r>
          </w:p>
        </w:tc>
        <w:tc>
          <w:tcPr>
            <w:tcW w:w="4988" w:type="dxa"/>
            <w:vAlign w:val="center"/>
          </w:tcPr>
          <w:p w14:paraId="1E766253">
            <w:pPr>
              <w:bidi w:val="0"/>
              <w:jc w:val="center"/>
              <w:rPr>
                <w:color w:val="auto"/>
                <w:szCs w:val="21"/>
              </w:rPr>
            </w:pPr>
            <w:r>
              <w:rPr>
                <w:rFonts w:hint="eastAsia" w:ascii="宋体" w:hAnsi="宋体" w:eastAsia="宋体" w:cs="宋体"/>
                <w:color w:val="auto"/>
                <w:sz w:val="21"/>
                <w:szCs w:val="21"/>
                <w:highlight w:val="none"/>
                <w:lang w:val="en-US" w:eastAsia="zh-CN"/>
              </w:rPr>
              <w:t>吸水率</w:t>
            </w:r>
            <w:r>
              <w:rPr>
                <w:rFonts w:hint="eastAsia"/>
                <w:color w:val="auto"/>
                <w:szCs w:val="21"/>
                <w:vertAlign w:val="superscript"/>
              </w:rPr>
              <w:t>a</w:t>
            </w:r>
          </w:p>
        </w:tc>
        <w:tc>
          <w:tcPr>
            <w:tcW w:w="3493" w:type="dxa"/>
            <w:vMerge w:val="continue"/>
            <w:vAlign w:val="center"/>
          </w:tcPr>
          <w:p w14:paraId="435383D1">
            <w:pPr>
              <w:jc w:val="center"/>
              <w:rPr>
                <w:szCs w:val="21"/>
              </w:rPr>
            </w:pPr>
          </w:p>
        </w:tc>
      </w:tr>
      <w:tr w14:paraId="78DD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4444EDEB">
            <w:pPr>
              <w:jc w:val="center"/>
              <w:rPr>
                <w:rFonts w:hint="default"/>
                <w:szCs w:val="21"/>
                <w:lang w:val="en-US" w:eastAsia="zh-CN"/>
              </w:rPr>
            </w:pPr>
            <w:r>
              <w:rPr>
                <w:rFonts w:hint="eastAsia"/>
                <w:szCs w:val="21"/>
                <w:lang w:val="en-US" w:eastAsia="zh-CN"/>
              </w:rPr>
              <w:t>6</w:t>
            </w:r>
          </w:p>
        </w:tc>
        <w:tc>
          <w:tcPr>
            <w:tcW w:w="4988" w:type="dxa"/>
            <w:vAlign w:val="center"/>
          </w:tcPr>
          <w:p w14:paraId="4939C78F">
            <w:pPr>
              <w:bidi w:val="0"/>
              <w:jc w:val="center"/>
              <w:rPr>
                <w:rFonts w:hint="default"/>
                <w:color w:val="auto"/>
                <w:szCs w:val="21"/>
                <w:lang w:val="en-US"/>
              </w:rPr>
            </w:pPr>
            <w:r>
              <w:rPr>
                <w:rFonts w:hint="eastAsia" w:ascii="宋体" w:hAnsi="宋体" w:eastAsia="宋体" w:cs="宋体"/>
                <w:color w:val="auto"/>
                <w:sz w:val="21"/>
                <w:szCs w:val="21"/>
                <w:highlight w:val="none"/>
                <w:lang w:val="en-US" w:eastAsia="zh-CN"/>
              </w:rPr>
              <w:t>受潮挠度</w:t>
            </w:r>
            <w:r>
              <w:rPr>
                <w:rFonts w:hint="eastAsia"/>
                <w:color w:val="auto"/>
                <w:szCs w:val="21"/>
                <w:vertAlign w:val="superscript"/>
              </w:rPr>
              <w:t>a</w:t>
            </w:r>
          </w:p>
        </w:tc>
        <w:tc>
          <w:tcPr>
            <w:tcW w:w="3493" w:type="dxa"/>
            <w:vMerge w:val="continue"/>
            <w:vAlign w:val="center"/>
          </w:tcPr>
          <w:p w14:paraId="3A337C64">
            <w:pPr>
              <w:jc w:val="center"/>
              <w:rPr>
                <w:szCs w:val="21"/>
              </w:rPr>
            </w:pPr>
          </w:p>
        </w:tc>
      </w:tr>
      <w:tr w14:paraId="1BD1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296ED84E">
            <w:pPr>
              <w:jc w:val="center"/>
              <w:rPr>
                <w:rFonts w:hint="default"/>
                <w:szCs w:val="21"/>
                <w:lang w:val="en-US" w:eastAsia="zh-CN"/>
              </w:rPr>
            </w:pPr>
            <w:r>
              <w:rPr>
                <w:rFonts w:hint="eastAsia"/>
                <w:szCs w:val="21"/>
                <w:lang w:val="en-US" w:eastAsia="zh-CN"/>
              </w:rPr>
              <w:t>7</w:t>
            </w:r>
          </w:p>
        </w:tc>
        <w:tc>
          <w:tcPr>
            <w:tcW w:w="4988" w:type="dxa"/>
            <w:vAlign w:val="center"/>
          </w:tcPr>
          <w:p w14:paraId="3CDF457D">
            <w:pPr>
              <w:bidi w:val="0"/>
              <w:jc w:val="center"/>
              <w:rPr>
                <w:rFonts w:hint="default"/>
                <w:szCs w:val="21"/>
                <w:lang w:val="en-US"/>
              </w:rPr>
            </w:pPr>
            <w:r>
              <w:rPr>
                <w:rFonts w:hint="eastAsia" w:ascii="宋体" w:hAnsi="宋体" w:eastAsia="宋体" w:cs="宋体"/>
                <w:sz w:val="21"/>
                <w:szCs w:val="21"/>
                <w:highlight w:val="none"/>
                <w:lang w:val="en-US" w:eastAsia="zh-CN"/>
              </w:rPr>
              <w:t>放射性核素限量</w:t>
            </w:r>
          </w:p>
        </w:tc>
        <w:tc>
          <w:tcPr>
            <w:tcW w:w="3493" w:type="dxa"/>
            <w:vAlign w:val="center"/>
          </w:tcPr>
          <w:p w14:paraId="19D2164B">
            <w:pPr>
              <w:jc w:val="center"/>
              <w:rPr>
                <w:szCs w:val="21"/>
              </w:rPr>
            </w:pPr>
            <w:r>
              <w:rPr>
                <w:rFonts w:hint="eastAsia"/>
                <w:szCs w:val="21"/>
                <w:lang w:val="en-US" w:eastAsia="zh-CN"/>
              </w:rPr>
              <w:t>GB 6566-2010</w:t>
            </w:r>
          </w:p>
        </w:tc>
      </w:tr>
      <w:tr w14:paraId="1C812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174" w:type="dxa"/>
            <w:gridSpan w:val="3"/>
            <w:vAlign w:val="center"/>
          </w:tcPr>
          <w:p w14:paraId="733EDF5D">
            <w:pPr>
              <w:jc w:val="left"/>
              <w:rPr>
                <w:rFonts w:hint="default" w:eastAsia="宋体"/>
                <w:szCs w:val="21"/>
                <w:lang w:val="en-US" w:eastAsia="zh-CN"/>
              </w:rPr>
            </w:pPr>
            <w:r>
              <w:rPr>
                <w:rFonts w:hint="eastAsia"/>
                <w:szCs w:val="21"/>
              </w:rPr>
              <w:t xml:space="preserve">a </w:t>
            </w:r>
            <w:r>
              <w:rPr>
                <w:rFonts w:hint="eastAsia"/>
                <w:szCs w:val="21"/>
                <w:lang w:val="en-US" w:eastAsia="zh-CN"/>
              </w:rPr>
              <w:t>普通板不考核该项目</w:t>
            </w:r>
            <w:bookmarkStart w:id="0" w:name="_GoBack"/>
            <w:bookmarkEnd w:id="0"/>
          </w:p>
        </w:tc>
      </w:tr>
    </w:tbl>
    <w:p w14:paraId="66337FA2">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60B45A2B">
      <w:pPr>
        <w:adjustRightInd w:val="0"/>
        <w:snapToGrid w:val="0"/>
        <w:spacing w:line="440" w:lineRule="exact"/>
        <w:ind w:firstLine="420" w:firstLineChars="200"/>
        <w:rPr>
          <w:color w:val="000000"/>
          <w:szCs w:val="21"/>
        </w:rPr>
      </w:pPr>
    </w:p>
    <w:p w14:paraId="01F4082E">
      <w:pPr>
        <w:spacing w:before="156" w:beforeLines="50" w:line="440" w:lineRule="exact"/>
        <w:rPr>
          <w:rFonts w:eastAsia="黑体"/>
          <w:color w:val="000000"/>
          <w:szCs w:val="21"/>
        </w:rPr>
      </w:pPr>
      <w:r>
        <w:rPr>
          <w:rFonts w:eastAsia="黑体"/>
          <w:color w:val="000000"/>
          <w:szCs w:val="21"/>
        </w:rPr>
        <w:t>3 判定规则</w:t>
      </w:r>
    </w:p>
    <w:p w14:paraId="09EA770D">
      <w:pPr>
        <w:snapToGrid w:val="0"/>
        <w:spacing w:line="440" w:lineRule="exact"/>
        <w:rPr>
          <w:color w:val="000000"/>
          <w:szCs w:val="21"/>
        </w:rPr>
      </w:pPr>
      <w:r>
        <w:rPr>
          <w:color w:val="000000"/>
          <w:szCs w:val="21"/>
        </w:rPr>
        <w:t>3.1依据标准</w:t>
      </w:r>
    </w:p>
    <w:p w14:paraId="02E5D2E5">
      <w:pPr>
        <w:snapToGrid w:val="0"/>
        <w:spacing w:line="440" w:lineRule="exact"/>
        <w:ind w:firstLine="420" w:firstLineChars="200"/>
        <w:rPr>
          <w:rFonts w:hint="eastAsia"/>
          <w:color w:val="000000"/>
          <w:szCs w:val="21"/>
        </w:rPr>
      </w:pPr>
      <w:r>
        <w:rPr>
          <w:rFonts w:hint="eastAsia"/>
          <w:color w:val="000000"/>
          <w:szCs w:val="21"/>
        </w:rPr>
        <w:t>JC/T 799-2016装饰石膏板</w:t>
      </w:r>
    </w:p>
    <w:p w14:paraId="650CA1BB">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GB 6566-2010建筑材料放射性核素限量</w:t>
      </w:r>
    </w:p>
    <w:p w14:paraId="0BA166E5">
      <w:pPr>
        <w:snapToGrid w:val="0"/>
        <w:spacing w:line="440" w:lineRule="exact"/>
        <w:ind w:firstLine="420" w:firstLineChars="200"/>
        <w:rPr>
          <w:rFonts w:hint="eastAsia"/>
          <w:color w:val="000000"/>
          <w:szCs w:val="21"/>
          <w:lang w:val="en-US" w:eastAsia="zh-CN"/>
        </w:rPr>
      </w:pPr>
      <w:r>
        <w:rPr>
          <w:rFonts w:hint="eastAsia"/>
          <w:color w:val="000000"/>
          <w:szCs w:val="21"/>
          <w:lang w:val="en-US" w:eastAsia="zh-CN"/>
        </w:rPr>
        <w:t xml:space="preserve">GB 8624-2012 </w:t>
      </w:r>
      <w:r>
        <w:rPr>
          <w:rFonts w:hint="default"/>
          <w:color w:val="000000"/>
          <w:szCs w:val="21"/>
        </w:rPr>
        <w:t>建筑材料及制品燃烧性能分级</w:t>
      </w:r>
    </w:p>
    <w:p w14:paraId="45D842E5">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148B201E">
      <w:pPr>
        <w:snapToGrid w:val="0"/>
        <w:spacing w:line="440" w:lineRule="exact"/>
        <w:rPr>
          <w:color w:val="000000"/>
          <w:szCs w:val="21"/>
        </w:rPr>
      </w:pPr>
      <w:r>
        <w:rPr>
          <w:color w:val="000000"/>
          <w:szCs w:val="21"/>
        </w:rPr>
        <w:t>3.2判定原则</w:t>
      </w:r>
    </w:p>
    <w:p w14:paraId="385BE914">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909775D">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3B34EF1F">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8C644E9">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694E97E0">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937AFF2">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D5FDD">
    <w:pPr>
      <w:pStyle w:val="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403807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B0D3F">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14:paraId="7327E707">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64398">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ZTIxMWU5OGIwY2U5MDI3ODdiMDM4ZDc3ZThlOTMifQ=="/>
  </w:docVars>
  <w:rsids>
    <w:rsidRoot w:val="00172A27"/>
    <w:rsid w:val="00012EEB"/>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E2DE0"/>
    <w:rsid w:val="000F14E9"/>
    <w:rsid w:val="00125916"/>
    <w:rsid w:val="00133E98"/>
    <w:rsid w:val="001352E7"/>
    <w:rsid w:val="00145AE7"/>
    <w:rsid w:val="001565C3"/>
    <w:rsid w:val="00172A27"/>
    <w:rsid w:val="001809DD"/>
    <w:rsid w:val="00197642"/>
    <w:rsid w:val="001A51E1"/>
    <w:rsid w:val="001F3D40"/>
    <w:rsid w:val="00205BC7"/>
    <w:rsid w:val="00247E11"/>
    <w:rsid w:val="002501F8"/>
    <w:rsid w:val="00253624"/>
    <w:rsid w:val="002627EB"/>
    <w:rsid w:val="00273AE5"/>
    <w:rsid w:val="00275517"/>
    <w:rsid w:val="00292DAD"/>
    <w:rsid w:val="002A25C4"/>
    <w:rsid w:val="002D7F8A"/>
    <w:rsid w:val="002E0D1D"/>
    <w:rsid w:val="002E4610"/>
    <w:rsid w:val="00312D60"/>
    <w:rsid w:val="003203A3"/>
    <w:rsid w:val="00373484"/>
    <w:rsid w:val="003831DC"/>
    <w:rsid w:val="00392BF9"/>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86CB0"/>
    <w:rsid w:val="00593498"/>
    <w:rsid w:val="005A1399"/>
    <w:rsid w:val="005A34AC"/>
    <w:rsid w:val="005B5C73"/>
    <w:rsid w:val="005B64D3"/>
    <w:rsid w:val="005D0F42"/>
    <w:rsid w:val="005F4CC6"/>
    <w:rsid w:val="00634C4F"/>
    <w:rsid w:val="006440C7"/>
    <w:rsid w:val="00661CE9"/>
    <w:rsid w:val="006734CA"/>
    <w:rsid w:val="00673C07"/>
    <w:rsid w:val="0068509C"/>
    <w:rsid w:val="006A3613"/>
    <w:rsid w:val="006A5215"/>
    <w:rsid w:val="006C7C2B"/>
    <w:rsid w:val="006F0971"/>
    <w:rsid w:val="0072334C"/>
    <w:rsid w:val="0074501E"/>
    <w:rsid w:val="007752EB"/>
    <w:rsid w:val="007761A5"/>
    <w:rsid w:val="00786F2C"/>
    <w:rsid w:val="007A5C0E"/>
    <w:rsid w:val="007B75EE"/>
    <w:rsid w:val="007C3667"/>
    <w:rsid w:val="007F583F"/>
    <w:rsid w:val="008139C8"/>
    <w:rsid w:val="008166B9"/>
    <w:rsid w:val="008200E6"/>
    <w:rsid w:val="0082012D"/>
    <w:rsid w:val="0084012D"/>
    <w:rsid w:val="0086159D"/>
    <w:rsid w:val="0087041A"/>
    <w:rsid w:val="00871617"/>
    <w:rsid w:val="008726BF"/>
    <w:rsid w:val="00895BEA"/>
    <w:rsid w:val="008A3497"/>
    <w:rsid w:val="008A61A4"/>
    <w:rsid w:val="008B1BD3"/>
    <w:rsid w:val="008C50E2"/>
    <w:rsid w:val="008E39B1"/>
    <w:rsid w:val="008F6434"/>
    <w:rsid w:val="00916926"/>
    <w:rsid w:val="00916BE5"/>
    <w:rsid w:val="00917A54"/>
    <w:rsid w:val="00920DA2"/>
    <w:rsid w:val="00926C29"/>
    <w:rsid w:val="00930572"/>
    <w:rsid w:val="00936B2A"/>
    <w:rsid w:val="00944A63"/>
    <w:rsid w:val="00957D96"/>
    <w:rsid w:val="00967C26"/>
    <w:rsid w:val="009865FB"/>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B6067"/>
    <w:rsid w:val="00BC52DB"/>
    <w:rsid w:val="00BF24FC"/>
    <w:rsid w:val="00BF5D64"/>
    <w:rsid w:val="00BF76DB"/>
    <w:rsid w:val="00C26074"/>
    <w:rsid w:val="00C34757"/>
    <w:rsid w:val="00C44CD6"/>
    <w:rsid w:val="00C626EC"/>
    <w:rsid w:val="00C63F45"/>
    <w:rsid w:val="00C83B0A"/>
    <w:rsid w:val="00C924E8"/>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A7F"/>
    <w:rsid w:val="00E07880"/>
    <w:rsid w:val="00E53438"/>
    <w:rsid w:val="00E62B1F"/>
    <w:rsid w:val="00E82621"/>
    <w:rsid w:val="00E95A55"/>
    <w:rsid w:val="00EA3D96"/>
    <w:rsid w:val="00ED4450"/>
    <w:rsid w:val="00ED5419"/>
    <w:rsid w:val="00ED6985"/>
    <w:rsid w:val="00F1455F"/>
    <w:rsid w:val="00F16AAE"/>
    <w:rsid w:val="00F332B6"/>
    <w:rsid w:val="00F5372E"/>
    <w:rsid w:val="00F5395B"/>
    <w:rsid w:val="00F57D43"/>
    <w:rsid w:val="00F77C9A"/>
    <w:rsid w:val="00F86832"/>
    <w:rsid w:val="00FA47C4"/>
    <w:rsid w:val="00FA4CC5"/>
    <w:rsid w:val="00FB576C"/>
    <w:rsid w:val="00FD2AA6"/>
    <w:rsid w:val="00FE14EF"/>
    <w:rsid w:val="00FE7E8A"/>
    <w:rsid w:val="00FF5DCC"/>
    <w:rsid w:val="03D40F34"/>
    <w:rsid w:val="04C70D83"/>
    <w:rsid w:val="09234C9E"/>
    <w:rsid w:val="0BF3562B"/>
    <w:rsid w:val="11473DDB"/>
    <w:rsid w:val="16AA5042"/>
    <w:rsid w:val="1A784B4A"/>
    <w:rsid w:val="1B9113EA"/>
    <w:rsid w:val="1E133B57"/>
    <w:rsid w:val="25FE0304"/>
    <w:rsid w:val="394D1D72"/>
    <w:rsid w:val="3BC768BF"/>
    <w:rsid w:val="3C186DE5"/>
    <w:rsid w:val="3E8E2096"/>
    <w:rsid w:val="575527A0"/>
    <w:rsid w:val="59E81116"/>
    <w:rsid w:val="60155BF2"/>
    <w:rsid w:val="617E46E6"/>
    <w:rsid w:val="627836B5"/>
    <w:rsid w:val="629611FF"/>
    <w:rsid w:val="636B2161"/>
    <w:rsid w:val="665E1984"/>
    <w:rsid w:val="6FE07B46"/>
    <w:rsid w:val="75FB6071"/>
    <w:rsid w:val="7A1E5CAC"/>
    <w:rsid w:val="7B0B018A"/>
    <w:rsid w:val="7C782283"/>
    <w:rsid w:val="7CAE06C1"/>
    <w:rsid w:val="7EDB396C"/>
    <w:rsid w:val="7EEB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line="700" w:lineRule="exact"/>
      <w:ind w:left="960"/>
    </w:pPr>
    <w:rPr>
      <w:sz w:val="44"/>
    </w:rPr>
  </w:style>
  <w:style w:type="paragraph" w:styleId="5">
    <w:name w:val="annotation text"/>
    <w:basedOn w:val="1"/>
    <w:unhideWhenUsed/>
    <w:qFormat/>
    <w:uiPriority w:val="99"/>
    <w:pPr>
      <w:jc w:val="left"/>
    </w:pPr>
  </w:style>
  <w:style w:type="paragraph" w:styleId="6">
    <w:name w:val="Balloon Text"/>
    <w:basedOn w:val="1"/>
    <w:link w:val="14"/>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customStyle="1" w:styleId="12">
    <w:name w:val="页眉 字符"/>
    <w:link w:val="8"/>
    <w:semiHidden/>
    <w:qFormat/>
    <w:uiPriority w:val="99"/>
    <w:rPr>
      <w:kern w:val="2"/>
      <w:sz w:val="18"/>
      <w:szCs w:val="18"/>
    </w:rPr>
  </w:style>
  <w:style w:type="character" w:customStyle="1" w:styleId="13">
    <w:name w:val="页脚 字符"/>
    <w:link w:val="7"/>
    <w:qFormat/>
    <w:uiPriority w:val="99"/>
    <w:rPr>
      <w:kern w:val="2"/>
      <w:sz w:val="18"/>
      <w:szCs w:val="18"/>
    </w:rPr>
  </w:style>
  <w:style w:type="character" w:customStyle="1" w:styleId="14">
    <w:name w:val="批注框文本 字符"/>
    <w:link w:val="6"/>
    <w:semiHidden/>
    <w:qFormat/>
    <w:uiPriority w:val="99"/>
    <w:rPr>
      <w:kern w:val="2"/>
      <w:sz w:val="18"/>
      <w:szCs w:val="18"/>
    </w:rPr>
  </w:style>
  <w:style w:type="paragraph" w:customStyle="1" w:styleId="15">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600</Words>
  <Characters>676</Characters>
  <Lines>12</Lines>
  <Paragraphs>3</Paragraphs>
  <TotalTime>3</TotalTime>
  <ScaleCrop>false</ScaleCrop>
  <LinksUpToDate>false</LinksUpToDate>
  <CharactersWithSpaces>688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2024-03-25T07:31:00Z</dcterms:created>
  <dc:creator>赛旺检测</dc:creator>
  <cp:lastModifiedBy>人走茶凉</cp:lastModifiedBy>
  <cp:lastPrinted>2019-12-26T06:50:00Z</cp:lastPrinted>
  <dcterms:modified xsi:type="dcterms:W3CDTF">2024-07-01T10:36:28Z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4E3F8BDD58974850A25B7E8F2A87CBF0_13</vt:lpwstr>
  </property>
</Properties>
</file>