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沙发</w:t>
      </w:r>
      <w:r>
        <w:rPr>
          <w:rFonts w:hint="eastAsia" w:ascii="方正小标宋简体" w:hAnsi="仿宋" w:eastAsia="方正小标宋简体" w:cs="方正仿宋简体"/>
          <w:color w:val="000000"/>
          <w:sz w:val="32"/>
          <w:szCs w:val="32"/>
        </w:rPr>
        <w:t>产品质量监督抽查实施细则</w:t>
      </w:r>
    </w:p>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4</w:t>
      </w:r>
      <w:r>
        <w:rPr>
          <w:rFonts w:hint="eastAsia" w:ascii="方正小标宋简体" w:hAnsi="仿宋" w:eastAsia="方正小标宋简体" w:cs="方正仿宋简体"/>
          <w:color w:val="000000"/>
          <w:sz w:val="32"/>
          <w:szCs w:val="32"/>
        </w:rPr>
        <w:t>年）</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adjustRightInd w:val="0"/>
        <w:snapToGrid w:val="0"/>
        <w:spacing w:line="440" w:lineRule="exact"/>
        <w:ind w:firstLine="420"/>
        <w:rPr>
          <w:rFonts w:ascii="宋体" w:hAnsi="宋体"/>
          <w:color w:val="000000"/>
          <w:szCs w:val="21"/>
        </w:rPr>
      </w:pPr>
      <w:r>
        <w:rPr>
          <w:rFonts w:hint="eastAsia" w:ascii="宋体" w:hAnsi="宋体"/>
          <w:szCs w:val="21"/>
        </w:rPr>
        <w:t>每批次抽取样品</w:t>
      </w:r>
      <w:r>
        <w:rPr>
          <w:rFonts w:ascii="宋体" w:hAnsi="宋体"/>
          <w:color w:val="000000"/>
          <w:szCs w:val="21"/>
        </w:rPr>
        <w:t>2件，其中 1件作为检验样品，1件作为备用样品。</w:t>
      </w: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p>
      <w:pPr>
        <w:snapToGrid w:val="0"/>
        <w:spacing w:line="440" w:lineRule="exact"/>
        <w:rPr>
          <w:rFonts w:hint="eastAsia" w:ascii="黑体" w:hAnsi="宋体" w:eastAsia="黑体" w:cs="Times New Roman"/>
          <w:color w:val="000000"/>
          <w:szCs w:val="21"/>
          <w:lang w:val="en-US" w:eastAsia="zh-CN"/>
        </w:rPr>
      </w:pPr>
      <w:r>
        <w:rPr>
          <w:rFonts w:hint="eastAsia" w:ascii="黑体" w:hAnsi="宋体" w:eastAsia="黑体" w:cs="Times New Roman"/>
          <w:color w:val="000000"/>
          <w:szCs w:val="21"/>
          <w:lang w:val="en-US" w:eastAsia="zh-CN"/>
        </w:rPr>
        <w:t>表1：</w:t>
      </w:r>
      <w:r>
        <w:rPr>
          <w:rFonts w:hint="eastAsia" w:ascii="黑体" w:hAnsi="宋体" w:eastAsia="黑体"/>
          <w:color w:val="000000"/>
          <w:szCs w:val="21"/>
          <w:lang w:val="en-US" w:eastAsia="zh-CN"/>
        </w:rPr>
        <w:t>执行标准QB/T 1952.1—2012</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3"/>
        <w:gridCol w:w="1115"/>
        <w:gridCol w:w="459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blHeader/>
          <w:jc w:val="center"/>
        </w:trPr>
        <w:tc>
          <w:tcPr>
            <w:tcW w:w="667" w:type="pct"/>
            <w:noWrap w:val="0"/>
            <w:vAlign w:val="center"/>
          </w:tcPr>
          <w:p>
            <w:pPr>
              <w:spacing w:line="440" w:lineRule="exact"/>
              <w:jc w:val="center"/>
              <w:textAlignment w:val="center"/>
              <w:rPr>
                <w:color w:val="000000"/>
                <w:szCs w:val="21"/>
              </w:rPr>
            </w:pPr>
            <w:r>
              <w:rPr>
                <w:color w:val="000000"/>
                <w:szCs w:val="21"/>
              </w:rPr>
              <w:t>序号</w:t>
            </w:r>
          </w:p>
        </w:tc>
        <w:tc>
          <w:tcPr>
            <w:tcW w:w="3116" w:type="pct"/>
            <w:gridSpan w:val="2"/>
            <w:noWrap w:val="0"/>
            <w:vAlign w:val="center"/>
          </w:tcPr>
          <w:p>
            <w:pPr>
              <w:spacing w:line="440" w:lineRule="exact"/>
              <w:jc w:val="center"/>
              <w:textAlignment w:val="center"/>
              <w:rPr>
                <w:color w:val="000000"/>
                <w:szCs w:val="21"/>
              </w:rPr>
            </w:pPr>
            <w:r>
              <w:rPr>
                <w:color w:val="000000"/>
                <w:szCs w:val="21"/>
              </w:rPr>
              <w:t>检验项目</w:t>
            </w:r>
          </w:p>
        </w:tc>
        <w:tc>
          <w:tcPr>
            <w:tcW w:w="1216" w:type="pct"/>
            <w:noWrap w:val="0"/>
            <w:vAlign w:val="center"/>
          </w:tcPr>
          <w:p>
            <w:pPr>
              <w:spacing w:line="440" w:lineRule="exact"/>
              <w:jc w:val="center"/>
              <w:textAlignment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w:t>
            </w:r>
          </w:p>
        </w:tc>
        <w:tc>
          <w:tcPr>
            <w:tcW w:w="608" w:type="pct"/>
            <w:vMerge w:val="restart"/>
            <w:noWrap w:val="0"/>
            <w:vAlign w:val="center"/>
          </w:tcPr>
          <w:p>
            <w:pPr>
              <w:jc w:val="center"/>
              <w:textAlignment w:val="center"/>
              <w:rPr>
                <w:color w:val="000000"/>
                <w:szCs w:val="21"/>
              </w:rPr>
            </w:pPr>
            <w:r>
              <w:rPr>
                <w:color w:val="000000"/>
                <w:szCs w:val="21"/>
              </w:rPr>
              <w:t>产品用料、加工</w:t>
            </w:r>
          </w:p>
        </w:tc>
        <w:tc>
          <w:tcPr>
            <w:tcW w:w="2508" w:type="pct"/>
            <w:noWrap w:val="0"/>
            <w:vAlign w:val="center"/>
          </w:tcPr>
          <w:p>
            <w:pPr>
              <w:jc w:val="center"/>
              <w:textAlignment w:val="center"/>
              <w:rPr>
                <w:color w:val="000000"/>
                <w:szCs w:val="21"/>
              </w:rPr>
            </w:pPr>
            <w:r>
              <w:rPr>
                <w:color w:val="000000"/>
                <w:szCs w:val="21"/>
              </w:rPr>
              <w:t>木制件</w:t>
            </w:r>
            <w:r>
              <w:rPr>
                <w:rFonts w:hint="eastAsia"/>
                <w:color w:val="000000"/>
                <w:szCs w:val="21"/>
              </w:rPr>
              <w:t>（表2—序号2、5、6、7）</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2</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金属件（</w:t>
            </w:r>
            <w:r>
              <w:rPr>
                <w:rFonts w:hint="eastAsia"/>
                <w:color w:val="000000"/>
                <w:szCs w:val="21"/>
              </w:rPr>
              <w:t>表2—序号10）</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3</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铺垫料</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4</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泡沫塑料</w:t>
            </w:r>
            <w:r>
              <w:rPr>
                <w:rFonts w:hint="eastAsia"/>
                <w:color w:val="000000"/>
                <w:szCs w:val="21"/>
              </w:rPr>
              <w:t>—</w:t>
            </w:r>
            <w:r>
              <w:rPr>
                <w:color w:val="000000"/>
                <w:szCs w:val="21"/>
              </w:rPr>
              <w:t>表观密度</w:t>
            </w:r>
            <w:r>
              <w:rPr>
                <w:rFonts w:hint="eastAsia"/>
                <w:color w:val="000000"/>
                <w:szCs w:val="21"/>
              </w:rPr>
              <w:t>—</w:t>
            </w:r>
            <w:r>
              <w:rPr>
                <w:color w:val="000000"/>
                <w:szCs w:val="21"/>
              </w:rPr>
              <w:t>座面</w:t>
            </w:r>
          </w:p>
        </w:tc>
        <w:tc>
          <w:tcPr>
            <w:tcW w:w="1216" w:type="pct"/>
            <w:noWrap w:val="0"/>
            <w:vAlign w:val="center"/>
          </w:tcPr>
          <w:p>
            <w:pPr>
              <w:jc w:val="center"/>
              <w:textAlignment w:val="center"/>
              <w:rPr>
                <w:color w:val="000000"/>
                <w:szCs w:val="21"/>
              </w:rPr>
            </w:pPr>
            <w:r>
              <w:rPr>
                <w:rFonts w:hint="eastAsia"/>
                <w:color w:val="000000"/>
                <w:szCs w:val="21"/>
              </w:rPr>
              <w:t>GB/T 6343—2009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67" w:type="pct"/>
            <w:noWrap w:val="0"/>
            <w:vAlign w:val="center"/>
          </w:tcPr>
          <w:p>
            <w:pPr>
              <w:jc w:val="center"/>
              <w:textAlignment w:val="center"/>
              <w:rPr>
                <w:color w:val="000000"/>
                <w:szCs w:val="21"/>
              </w:rPr>
            </w:pPr>
            <w:r>
              <w:rPr>
                <w:color w:val="000000"/>
                <w:szCs w:val="21"/>
              </w:rPr>
              <w:t>5</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泡沫塑料</w:t>
            </w:r>
            <w:r>
              <w:rPr>
                <w:rFonts w:hint="eastAsia"/>
                <w:color w:val="000000"/>
                <w:szCs w:val="21"/>
              </w:rPr>
              <w:t>—</w:t>
            </w:r>
            <w:r>
              <w:rPr>
                <w:color w:val="000000"/>
                <w:szCs w:val="21"/>
              </w:rPr>
              <w:t>回弹性能（除慢回弹泡沫塑料外）</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6</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泡沫塑料</w:t>
            </w:r>
            <w:r>
              <w:rPr>
                <w:rFonts w:hint="eastAsia"/>
                <w:color w:val="000000"/>
                <w:szCs w:val="21"/>
              </w:rPr>
              <w:t>—</w:t>
            </w:r>
            <w:r>
              <w:rPr>
                <w:color w:val="000000"/>
                <w:szCs w:val="21"/>
              </w:rPr>
              <w:t>压缩永久变形</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7</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防锈处理</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8</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摩擦声</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667" w:type="pct"/>
            <w:noWrap w:val="0"/>
            <w:vAlign w:val="center"/>
          </w:tcPr>
          <w:p>
            <w:pPr>
              <w:jc w:val="center"/>
              <w:textAlignment w:val="center"/>
              <w:rPr>
                <w:color w:val="000000"/>
                <w:szCs w:val="21"/>
              </w:rPr>
            </w:pPr>
            <w:r>
              <w:rPr>
                <w:color w:val="000000"/>
                <w:szCs w:val="21"/>
              </w:rPr>
              <w:t>9</w:t>
            </w:r>
          </w:p>
        </w:tc>
        <w:tc>
          <w:tcPr>
            <w:tcW w:w="608" w:type="pct"/>
            <w:vMerge w:val="restart"/>
            <w:noWrap w:val="0"/>
            <w:vAlign w:val="center"/>
          </w:tcPr>
          <w:p>
            <w:pPr>
              <w:jc w:val="center"/>
              <w:textAlignment w:val="center"/>
              <w:rPr>
                <w:color w:val="000000"/>
                <w:szCs w:val="21"/>
              </w:rPr>
            </w:pPr>
            <w:r>
              <w:rPr>
                <w:color w:val="000000"/>
                <w:szCs w:val="21"/>
              </w:rPr>
              <w:t>表面涂层理化性能（木制件漆膜涂层）</w:t>
            </w:r>
          </w:p>
        </w:tc>
        <w:tc>
          <w:tcPr>
            <w:tcW w:w="2508" w:type="pct"/>
            <w:noWrap w:val="0"/>
            <w:vAlign w:val="center"/>
          </w:tcPr>
          <w:p>
            <w:pPr>
              <w:jc w:val="center"/>
              <w:textAlignment w:val="center"/>
              <w:rPr>
                <w:color w:val="000000"/>
                <w:szCs w:val="21"/>
              </w:rPr>
            </w:pPr>
            <w:r>
              <w:rPr>
                <w:color w:val="000000"/>
                <w:szCs w:val="21"/>
              </w:rPr>
              <w:t>附着力</w:t>
            </w:r>
          </w:p>
        </w:tc>
        <w:tc>
          <w:tcPr>
            <w:tcW w:w="1216" w:type="pct"/>
            <w:noWrap w:val="0"/>
            <w:vAlign w:val="center"/>
          </w:tcPr>
          <w:p>
            <w:pPr>
              <w:jc w:val="center"/>
              <w:textAlignment w:val="center"/>
              <w:rPr>
                <w:color w:val="000000"/>
                <w:szCs w:val="21"/>
              </w:rPr>
            </w:pPr>
            <w:r>
              <w:rPr>
                <w:rFonts w:hint="eastAsia"/>
                <w:color w:val="000000"/>
                <w:szCs w:val="21"/>
              </w:rPr>
              <w:t>GB/T 4893.4—2013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10</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耐磨性</w:t>
            </w:r>
          </w:p>
        </w:tc>
        <w:tc>
          <w:tcPr>
            <w:tcW w:w="1216" w:type="pct"/>
            <w:noWrap w:val="0"/>
            <w:vAlign w:val="center"/>
          </w:tcPr>
          <w:p>
            <w:pPr>
              <w:jc w:val="center"/>
              <w:textAlignment w:val="center"/>
              <w:rPr>
                <w:color w:val="000000"/>
                <w:szCs w:val="21"/>
              </w:rPr>
            </w:pPr>
            <w:r>
              <w:rPr>
                <w:rFonts w:hint="eastAsia"/>
                <w:color w:val="000000"/>
                <w:szCs w:val="21"/>
              </w:rPr>
              <w:t>GB/T 4893.8—2013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67" w:type="pct"/>
            <w:noWrap w:val="0"/>
            <w:vAlign w:val="center"/>
          </w:tcPr>
          <w:p>
            <w:pPr>
              <w:jc w:val="center"/>
              <w:textAlignment w:val="center"/>
              <w:rPr>
                <w:color w:val="000000"/>
                <w:szCs w:val="21"/>
              </w:rPr>
            </w:pPr>
            <w:r>
              <w:rPr>
                <w:color w:val="000000"/>
                <w:szCs w:val="21"/>
              </w:rPr>
              <w:t>11</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耐冷热温差</w:t>
            </w:r>
          </w:p>
        </w:tc>
        <w:tc>
          <w:tcPr>
            <w:tcW w:w="1216" w:type="pct"/>
            <w:noWrap w:val="0"/>
            <w:vAlign w:val="center"/>
          </w:tcPr>
          <w:p>
            <w:pPr>
              <w:jc w:val="center"/>
              <w:textAlignment w:val="center"/>
              <w:rPr>
                <w:color w:val="000000"/>
                <w:szCs w:val="21"/>
              </w:rPr>
            </w:pPr>
            <w:r>
              <w:rPr>
                <w:rFonts w:hint="eastAsia"/>
                <w:color w:val="000000"/>
                <w:szCs w:val="21"/>
              </w:rPr>
              <w:t>GB/T 4893.7—2013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12</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抗冲击</w:t>
            </w:r>
          </w:p>
        </w:tc>
        <w:tc>
          <w:tcPr>
            <w:tcW w:w="1216" w:type="pct"/>
            <w:noWrap w:val="0"/>
            <w:vAlign w:val="center"/>
          </w:tcPr>
          <w:p>
            <w:pPr>
              <w:jc w:val="center"/>
              <w:textAlignment w:val="center"/>
              <w:rPr>
                <w:color w:val="000000"/>
                <w:szCs w:val="21"/>
              </w:rPr>
            </w:pPr>
            <w:r>
              <w:rPr>
                <w:rFonts w:hint="eastAsia"/>
                <w:color w:val="000000"/>
                <w:szCs w:val="21"/>
              </w:rPr>
              <w:t>GB/T 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13</w:t>
            </w:r>
          </w:p>
        </w:tc>
        <w:tc>
          <w:tcPr>
            <w:tcW w:w="608" w:type="pct"/>
            <w:vMerge w:val="restart"/>
            <w:noWrap w:val="0"/>
            <w:vAlign w:val="center"/>
          </w:tcPr>
          <w:p>
            <w:pPr>
              <w:jc w:val="center"/>
              <w:textAlignment w:val="center"/>
              <w:rPr>
                <w:color w:val="000000"/>
                <w:szCs w:val="21"/>
              </w:rPr>
            </w:pPr>
            <w:r>
              <w:rPr>
                <w:color w:val="000000"/>
                <w:szCs w:val="21"/>
              </w:rPr>
              <w:t>表面涂层理化性能（金属件表面涂层）</w:t>
            </w:r>
          </w:p>
        </w:tc>
        <w:tc>
          <w:tcPr>
            <w:tcW w:w="2508" w:type="pct"/>
            <w:noWrap w:val="0"/>
            <w:vAlign w:val="center"/>
          </w:tcPr>
          <w:p>
            <w:pPr>
              <w:jc w:val="center"/>
              <w:textAlignment w:val="center"/>
              <w:rPr>
                <w:color w:val="000000"/>
                <w:szCs w:val="21"/>
              </w:rPr>
            </w:pPr>
            <w:r>
              <w:rPr>
                <w:color w:val="000000"/>
                <w:szCs w:val="21"/>
              </w:rPr>
              <w:t>附着力</w:t>
            </w:r>
          </w:p>
        </w:tc>
        <w:tc>
          <w:tcPr>
            <w:tcW w:w="1216" w:type="pct"/>
            <w:noWrap w:val="0"/>
            <w:vAlign w:val="center"/>
          </w:tcPr>
          <w:p>
            <w:pPr>
              <w:jc w:val="center"/>
              <w:textAlignment w:val="center"/>
              <w:rPr>
                <w:color w:val="000000"/>
                <w:szCs w:val="21"/>
              </w:rPr>
            </w:pPr>
            <w:r>
              <w:rPr>
                <w:rFonts w:hint="eastAsia"/>
                <w:color w:val="000000"/>
                <w:szCs w:val="21"/>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14</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耐腐蚀</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67" w:type="pct"/>
            <w:noWrap w:val="0"/>
            <w:vAlign w:val="center"/>
          </w:tcPr>
          <w:p>
            <w:pPr>
              <w:jc w:val="center"/>
              <w:textAlignment w:val="center"/>
              <w:rPr>
                <w:color w:val="000000"/>
                <w:szCs w:val="21"/>
              </w:rPr>
            </w:pPr>
            <w:r>
              <w:rPr>
                <w:color w:val="000000"/>
                <w:szCs w:val="21"/>
              </w:rPr>
              <w:t>15</w:t>
            </w:r>
          </w:p>
        </w:tc>
        <w:tc>
          <w:tcPr>
            <w:tcW w:w="608" w:type="pct"/>
            <w:noWrap w:val="0"/>
            <w:vAlign w:val="center"/>
          </w:tcPr>
          <w:p>
            <w:pPr>
              <w:jc w:val="center"/>
              <w:textAlignment w:val="center"/>
              <w:rPr>
                <w:color w:val="000000"/>
                <w:szCs w:val="21"/>
              </w:rPr>
            </w:pPr>
            <w:r>
              <w:rPr>
                <w:color w:val="000000"/>
                <w:szCs w:val="21"/>
              </w:rPr>
              <w:t>表面涂层理化性能（金属件电镀层）</w:t>
            </w:r>
          </w:p>
        </w:tc>
        <w:tc>
          <w:tcPr>
            <w:tcW w:w="2508" w:type="pct"/>
            <w:noWrap w:val="0"/>
            <w:vAlign w:val="center"/>
          </w:tcPr>
          <w:p>
            <w:pPr>
              <w:jc w:val="center"/>
              <w:textAlignment w:val="center"/>
              <w:rPr>
                <w:color w:val="000000"/>
                <w:szCs w:val="21"/>
              </w:rPr>
            </w:pPr>
            <w:r>
              <w:rPr>
                <w:color w:val="000000"/>
                <w:szCs w:val="21"/>
              </w:rPr>
              <w:t>耐腐蚀</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16</w:t>
            </w:r>
          </w:p>
        </w:tc>
        <w:tc>
          <w:tcPr>
            <w:tcW w:w="608" w:type="pct"/>
            <w:vMerge w:val="restart"/>
            <w:noWrap w:val="0"/>
            <w:vAlign w:val="center"/>
          </w:tcPr>
          <w:p>
            <w:pPr>
              <w:jc w:val="center"/>
              <w:textAlignment w:val="center"/>
              <w:rPr>
                <w:color w:val="000000"/>
                <w:szCs w:val="21"/>
              </w:rPr>
            </w:pPr>
            <w:r>
              <w:rPr>
                <w:color w:val="000000"/>
                <w:szCs w:val="21"/>
              </w:rPr>
              <w:t>覆面材料理化性能</w:t>
            </w:r>
          </w:p>
        </w:tc>
        <w:tc>
          <w:tcPr>
            <w:tcW w:w="2508" w:type="pct"/>
            <w:noWrap w:val="0"/>
            <w:vAlign w:val="center"/>
          </w:tcPr>
          <w:p>
            <w:pPr>
              <w:jc w:val="center"/>
              <w:textAlignment w:val="center"/>
              <w:rPr>
                <w:color w:val="000000"/>
                <w:szCs w:val="21"/>
              </w:rPr>
            </w:pPr>
            <w:r>
              <w:rPr>
                <w:color w:val="000000"/>
                <w:szCs w:val="21"/>
              </w:rPr>
              <w:t>面料颜色干摩擦牢度</w:t>
            </w:r>
          </w:p>
        </w:tc>
        <w:tc>
          <w:tcPr>
            <w:tcW w:w="1216" w:type="pct"/>
            <w:noWrap w:val="0"/>
            <w:vAlign w:val="center"/>
          </w:tcPr>
          <w:p>
            <w:pPr>
              <w:jc w:val="center"/>
              <w:textAlignment w:val="center"/>
              <w:rPr>
                <w:color w:val="000000"/>
                <w:szCs w:val="21"/>
              </w:rPr>
            </w:pPr>
            <w:r>
              <w:rPr>
                <w:rFonts w:hint="eastAsia"/>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17</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纺织面料耐酸汗渍色牢度</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18</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纺织面料耐碱汗渍色牢度</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67" w:type="pct"/>
            <w:noWrap w:val="0"/>
            <w:vAlign w:val="center"/>
          </w:tcPr>
          <w:p>
            <w:pPr>
              <w:jc w:val="center"/>
              <w:textAlignment w:val="center"/>
              <w:rPr>
                <w:color w:val="000000"/>
                <w:szCs w:val="21"/>
              </w:rPr>
            </w:pPr>
            <w:r>
              <w:rPr>
                <w:color w:val="000000"/>
                <w:szCs w:val="21"/>
              </w:rPr>
              <w:t>19</w:t>
            </w: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color w:val="000000"/>
                <w:szCs w:val="21"/>
              </w:rPr>
              <w:t>皮革涂层粘着牢度</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7" w:type="pct"/>
            <w:noWrap w:val="0"/>
            <w:vAlign w:val="center"/>
          </w:tcPr>
          <w:p>
            <w:pPr>
              <w:jc w:val="center"/>
              <w:textAlignment w:val="center"/>
              <w:rPr>
                <w:color w:val="000000"/>
                <w:szCs w:val="21"/>
              </w:rPr>
            </w:pPr>
            <w:r>
              <w:rPr>
                <w:color w:val="000000"/>
                <w:szCs w:val="21"/>
              </w:rPr>
              <w:t>20</w:t>
            </w:r>
          </w:p>
        </w:tc>
        <w:tc>
          <w:tcPr>
            <w:tcW w:w="608" w:type="pct"/>
            <w:noWrap w:val="0"/>
            <w:vAlign w:val="center"/>
          </w:tcPr>
          <w:p>
            <w:pPr>
              <w:jc w:val="center"/>
              <w:textAlignment w:val="center"/>
              <w:rPr>
                <w:color w:val="000000"/>
                <w:szCs w:val="21"/>
              </w:rPr>
            </w:pPr>
            <w:r>
              <w:rPr>
                <w:color w:val="000000"/>
                <w:szCs w:val="21"/>
              </w:rPr>
              <w:t>力学性能</w:t>
            </w:r>
          </w:p>
        </w:tc>
        <w:tc>
          <w:tcPr>
            <w:tcW w:w="2508" w:type="pct"/>
            <w:noWrap w:val="0"/>
            <w:vAlign w:val="center"/>
          </w:tcPr>
          <w:p>
            <w:pPr>
              <w:jc w:val="center"/>
              <w:textAlignment w:val="center"/>
              <w:rPr>
                <w:color w:val="000000"/>
                <w:szCs w:val="21"/>
              </w:rPr>
            </w:pPr>
            <w:r>
              <w:rPr>
                <w:color w:val="000000"/>
                <w:szCs w:val="21"/>
              </w:rPr>
              <w:t>沙发座、背及扶手耐久性</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667" w:type="pct"/>
            <w:vMerge w:val="restart"/>
            <w:noWrap w:val="0"/>
            <w:vAlign w:val="center"/>
          </w:tcPr>
          <w:p>
            <w:pPr>
              <w:jc w:val="center"/>
              <w:textAlignment w:val="center"/>
              <w:rPr>
                <w:color w:val="000000"/>
                <w:szCs w:val="21"/>
              </w:rPr>
            </w:pPr>
            <w:r>
              <w:rPr>
                <w:color w:val="000000"/>
                <w:szCs w:val="21"/>
              </w:rPr>
              <w:t>21</w:t>
            </w:r>
          </w:p>
        </w:tc>
        <w:tc>
          <w:tcPr>
            <w:tcW w:w="608" w:type="pct"/>
            <w:vMerge w:val="restart"/>
            <w:noWrap w:val="0"/>
            <w:vAlign w:val="center"/>
          </w:tcPr>
          <w:p>
            <w:pPr>
              <w:jc w:val="center"/>
              <w:textAlignment w:val="center"/>
              <w:rPr>
                <w:color w:val="000000"/>
                <w:szCs w:val="21"/>
              </w:rPr>
            </w:pPr>
            <w:r>
              <w:rPr>
                <w:color w:val="000000"/>
                <w:szCs w:val="21"/>
              </w:rPr>
              <w:t>安全性能</w:t>
            </w:r>
          </w:p>
        </w:tc>
        <w:tc>
          <w:tcPr>
            <w:tcW w:w="2508" w:type="pct"/>
            <w:noWrap w:val="0"/>
            <w:vAlign w:val="center"/>
          </w:tcPr>
          <w:p>
            <w:pPr>
              <w:jc w:val="center"/>
              <w:textAlignment w:val="center"/>
              <w:rPr>
                <w:color w:val="000000"/>
                <w:szCs w:val="21"/>
              </w:rPr>
            </w:pPr>
            <w:r>
              <w:rPr>
                <w:rFonts w:hint="eastAsia"/>
                <w:color w:val="000000"/>
                <w:szCs w:val="21"/>
              </w:rPr>
              <w:t>其他安全性能</w:t>
            </w:r>
          </w:p>
        </w:tc>
        <w:tc>
          <w:tcPr>
            <w:tcW w:w="1216" w:type="pct"/>
            <w:noWrap w:val="0"/>
            <w:vAlign w:val="center"/>
          </w:tcPr>
          <w:p>
            <w:pPr>
              <w:jc w:val="center"/>
              <w:textAlignment w:val="center"/>
              <w:rPr>
                <w:color w:val="000000"/>
                <w:szCs w:val="21"/>
              </w:rPr>
            </w:pPr>
            <w:r>
              <w:rPr>
                <w:color w:val="000000"/>
                <w:szCs w:val="21"/>
              </w:rPr>
              <w:t>QB/T 1952.1</w:t>
            </w:r>
            <w:r>
              <w:rPr>
                <w:rFonts w:hint="eastAsia"/>
                <w:color w:val="000000"/>
                <w:szCs w:val="21"/>
              </w:rPr>
              <w:t>—</w:t>
            </w:r>
            <w:r>
              <w:rPr>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667" w:type="pct"/>
            <w:vMerge w:val="continue"/>
            <w:noWrap w:val="0"/>
            <w:vAlign w:val="center"/>
          </w:tcPr>
          <w:p>
            <w:pPr>
              <w:jc w:val="center"/>
              <w:textAlignment w:val="center"/>
              <w:rPr>
                <w:color w:val="000000"/>
                <w:szCs w:val="21"/>
              </w:rPr>
            </w:pPr>
          </w:p>
        </w:tc>
        <w:tc>
          <w:tcPr>
            <w:tcW w:w="608" w:type="pct"/>
            <w:vMerge w:val="continue"/>
            <w:noWrap w:val="0"/>
            <w:vAlign w:val="center"/>
          </w:tcPr>
          <w:p>
            <w:pPr>
              <w:jc w:val="center"/>
              <w:textAlignment w:val="center"/>
              <w:rPr>
                <w:color w:val="000000"/>
                <w:szCs w:val="21"/>
              </w:rPr>
            </w:pPr>
          </w:p>
        </w:tc>
        <w:tc>
          <w:tcPr>
            <w:tcW w:w="2508" w:type="pct"/>
            <w:noWrap w:val="0"/>
            <w:vAlign w:val="center"/>
          </w:tcPr>
          <w:p>
            <w:pPr>
              <w:jc w:val="center"/>
              <w:textAlignment w:val="center"/>
              <w:rPr>
                <w:color w:val="000000"/>
                <w:szCs w:val="21"/>
              </w:rPr>
            </w:pPr>
            <w:r>
              <w:rPr>
                <w:rFonts w:hint="eastAsia"/>
                <w:color w:val="000000"/>
                <w:szCs w:val="21"/>
              </w:rPr>
              <w:t>抗引燃特性</w:t>
            </w:r>
          </w:p>
        </w:tc>
        <w:tc>
          <w:tcPr>
            <w:tcW w:w="1216" w:type="pct"/>
            <w:noWrap w:val="0"/>
            <w:vAlign w:val="center"/>
          </w:tcPr>
          <w:p>
            <w:pPr>
              <w:jc w:val="center"/>
              <w:textAlignment w:val="center"/>
              <w:rPr>
                <w:rFonts w:hint="eastAsia"/>
                <w:color w:val="000000"/>
                <w:szCs w:val="21"/>
              </w:rPr>
            </w:pPr>
            <w:r>
              <w:rPr>
                <w:rFonts w:hint="eastAsia"/>
                <w:color w:val="000000"/>
                <w:szCs w:val="21"/>
              </w:rPr>
              <w:t>GB 17927.1—2011</w:t>
            </w:r>
          </w:p>
          <w:p>
            <w:pPr>
              <w:jc w:val="center"/>
              <w:textAlignment w:val="center"/>
              <w:rPr>
                <w:color w:val="000000"/>
                <w:szCs w:val="21"/>
              </w:rPr>
            </w:pPr>
            <w:r>
              <w:rPr>
                <w:rFonts w:hint="eastAsia"/>
                <w:color w:val="000000"/>
                <w:szCs w:val="21"/>
              </w:rPr>
              <w:t>GB 17927.2—2011</w:t>
            </w:r>
          </w:p>
        </w:tc>
      </w:tr>
    </w:tbl>
    <w:p>
      <w:pPr>
        <w:snapToGrid w:val="0"/>
        <w:spacing w:line="440" w:lineRule="exact"/>
        <w:rPr>
          <w:rFonts w:hint="default" w:ascii="黑体" w:hAnsi="宋体" w:eastAsia="黑体" w:cs="Times New Roman"/>
          <w:color w:val="000000"/>
          <w:szCs w:val="21"/>
          <w:lang w:val="en-US" w:eastAsia="zh-CN"/>
        </w:rPr>
      </w:pPr>
      <w:r>
        <w:rPr>
          <w:rFonts w:hint="eastAsia" w:ascii="黑体" w:hAnsi="宋体" w:eastAsia="黑体" w:cs="Times New Roman"/>
          <w:color w:val="000000"/>
          <w:szCs w:val="21"/>
          <w:lang w:val="en-US" w:eastAsia="zh-CN"/>
        </w:rPr>
        <w:t>表2：</w:t>
      </w:r>
      <w:r>
        <w:rPr>
          <w:rFonts w:hint="eastAsia" w:ascii="黑体" w:hAnsi="宋体" w:eastAsia="黑体"/>
          <w:color w:val="000000"/>
          <w:szCs w:val="21"/>
          <w:lang w:val="en-US" w:eastAsia="zh-CN"/>
        </w:rPr>
        <w:t>执行标准QB/T 1952.1—2023</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1130"/>
        <w:gridCol w:w="4627"/>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blHeader/>
          <w:jc w:val="center"/>
        </w:trPr>
        <w:tc>
          <w:tcPr>
            <w:tcW w:w="652" w:type="pct"/>
            <w:noWrap w:val="0"/>
            <w:vAlign w:val="center"/>
          </w:tcPr>
          <w:p>
            <w:pPr>
              <w:spacing w:line="440" w:lineRule="exact"/>
              <w:jc w:val="center"/>
              <w:textAlignment w:val="center"/>
              <w:rPr>
                <w:color w:val="000000"/>
                <w:szCs w:val="21"/>
              </w:rPr>
            </w:pPr>
            <w:r>
              <w:rPr>
                <w:color w:val="000000"/>
                <w:szCs w:val="21"/>
              </w:rPr>
              <w:t>序号</w:t>
            </w:r>
          </w:p>
        </w:tc>
        <w:tc>
          <w:tcPr>
            <w:tcW w:w="3139" w:type="pct"/>
            <w:gridSpan w:val="2"/>
            <w:noWrap w:val="0"/>
            <w:vAlign w:val="center"/>
          </w:tcPr>
          <w:p>
            <w:pPr>
              <w:spacing w:line="440" w:lineRule="exact"/>
              <w:jc w:val="center"/>
              <w:textAlignment w:val="center"/>
              <w:rPr>
                <w:color w:val="000000"/>
                <w:szCs w:val="21"/>
              </w:rPr>
            </w:pPr>
            <w:r>
              <w:rPr>
                <w:color w:val="000000"/>
                <w:szCs w:val="21"/>
              </w:rPr>
              <w:t>检验项目</w:t>
            </w:r>
          </w:p>
        </w:tc>
        <w:tc>
          <w:tcPr>
            <w:tcW w:w="1207" w:type="pct"/>
            <w:noWrap w:val="0"/>
            <w:vAlign w:val="center"/>
          </w:tcPr>
          <w:p>
            <w:pPr>
              <w:spacing w:line="440" w:lineRule="exact"/>
              <w:jc w:val="center"/>
              <w:textAlignment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1</w:t>
            </w:r>
          </w:p>
        </w:tc>
        <w:tc>
          <w:tcPr>
            <w:tcW w:w="616" w:type="pct"/>
            <w:vMerge w:val="restart"/>
            <w:noWrap w:val="0"/>
            <w:vAlign w:val="center"/>
          </w:tcPr>
          <w:p>
            <w:pPr>
              <w:jc w:val="center"/>
              <w:textAlignment w:val="center"/>
              <w:rPr>
                <w:color w:val="000000"/>
                <w:szCs w:val="21"/>
              </w:rPr>
            </w:pPr>
            <w:r>
              <w:rPr>
                <w:color w:val="000000"/>
                <w:szCs w:val="21"/>
              </w:rPr>
              <w:t>产品用料、加工</w:t>
            </w:r>
          </w:p>
        </w:tc>
        <w:tc>
          <w:tcPr>
            <w:tcW w:w="2522" w:type="pct"/>
            <w:noWrap w:val="0"/>
            <w:vAlign w:val="center"/>
          </w:tcPr>
          <w:p>
            <w:pPr>
              <w:jc w:val="center"/>
              <w:textAlignment w:val="center"/>
              <w:rPr>
                <w:color w:val="000000"/>
                <w:szCs w:val="21"/>
              </w:rPr>
            </w:pPr>
            <w:r>
              <w:rPr>
                <w:color w:val="000000"/>
                <w:szCs w:val="21"/>
              </w:rPr>
              <w:t>木制件</w:t>
            </w:r>
            <w:r>
              <w:rPr>
                <w:rFonts w:hint="eastAsia"/>
                <w:color w:val="000000"/>
                <w:szCs w:val="21"/>
              </w:rPr>
              <w:t>（表</w:t>
            </w:r>
            <w:r>
              <w:rPr>
                <w:rFonts w:hint="eastAsia"/>
                <w:color w:val="000000"/>
                <w:szCs w:val="21"/>
                <w:lang w:val="en-US" w:eastAsia="zh-CN"/>
              </w:rPr>
              <w:t>3</w:t>
            </w:r>
            <w:r>
              <w:rPr>
                <w:rFonts w:hint="eastAsia"/>
                <w:color w:val="000000"/>
                <w:szCs w:val="21"/>
              </w:rPr>
              <w:t>—序号2、</w:t>
            </w:r>
            <w:r>
              <w:rPr>
                <w:rFonts w:hint="eastAsia"/>
                <w:color w:val="000000"/>
                <w:szCs w:val="21"/>
                <w:lang w:val="en-US" w:eastAsia="zh-CN"/>
              </w:rPr>
              <w:t>3</w:t>
            </w:r>
            <w:r>
              <w:rPr>
                <w:rFonts w:hint="eastAsia"/>
                <w:color w:val="000000"/>
                <w:szCs w:val="21"/>
              </w:rPr>
              <w:t>、</w:t>
            </w:r>
            <w:r>
              <w:rPr>
                <w:rFonts w:hint="eastAsia"/>
                <w:color w:val="000000"/>
                <w:szCs w:val="21"/>
                <w:lang w:val="en-US" w:eastAsia="zh-CN"/>
              </w:rPr>
              <w:t>4</w:t>
            </w:r>
            <w:r>
              <w:rPr>
                <w:rFonts w:hint="eastAsia"/>
                <w:color w:val="000000"/>
                <w:szCs w:val="21"/>
              </w:rPr>
              <w:t>）</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2</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金属件</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3</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铺垫料</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4</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泡沫塑料</w:t>
            </w:r>
            <w:r>
              <w:rPr>
                <w:rFonts w:hint="eastAsia"/>
                <w:color w:val="000000"/>
                <w:szCs w:val="21"/>
              </w:rPr>
              <w:t>—</w:t>
            </w:r>
            <w:r>
              <w:rPr>
                <w:color w:val="000000"/>
                <w:szCs w:val="21"/>
              </w:rPr>
              <w:t>表观密度</w:t>
            </w:r>
            <w:r>
              <w:rPr>
                <w:rFonts w:hint="eastAsia"/>
                <w:color w:val="000000"/>
                <w:szCs w:val="21"/>
              </w:rPr>
              <w:t>—</w:t>
            </w:r>
            <w:r>
              <w:rPr>
                <w:color w:val="000000"/>
                <w:szCs w:val="21"/>
              </w:rPr>
              <w:t>座面</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GB/T 6343—2009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52" w:type="pct"/>
            <w:noWrap w:val="0"/>
            <w:vAlign w:val="center"/>
          </w:tcPr>
          <w:p>
            <w:pPr>
              <w:jc w:val="center"/>
              <w:textAlignment w:val="center"/>
              <w:rPr>
                <w:color w:val="000000"/>
                <w:szCs w:val="21"/>
              </w:rPr>
            </w:pPr>
            <w:r>
              <w:rPr>
                <w:color w:val="000000"/>
                <w:szCs w:val="21"/>
              </w:rPr>
              <w:t>5</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泡沫塑料</w:t>
            </w:r>
            <w:r>
              <w:rPr>
                <w:rFonts w:hint="eastAsia"/>
                <w:color w:val="000000"/>
                <w:szCs w:val="21"/>
              </w:rPr>
              <w:t>—</w:t>
            </w:r>
            <w:r>
              <w:rPr>
                <w:color w:val="000000"/>
                <w:szCs w:val="21"/>
              </w:rPr>
              <w:t>回弹性能（除慢回弹泡沫塑料外）</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6</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泡沫塑料</w:t>
            </w:r>
            <w:r>
              <w:rPr>
                <w:rFonts w:hint="eastAsia"/>
                <w:color w:val="000000"/>
                <w:szCs w:val="21"/>
              </w:rPr>
              <w:t>—</w:t>
            </w:r>
            <w:r>
              <w:rPr>
                <w:color w:val="000000"/>
                <w:szCs w:val="21"/>
              </w:rPr>
              <w:t>压缩永久变形</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7</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防锈处理</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8</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摩擦声</w:t>
            </w:r>
          </w:p>
        </w:tc>
        <w:tc>
          <w:tcPr>
            <w:tcW w:w="1207" w:type="pct"/>
            <w:noWrap w:val="0"/>
            <w:vAlign w:val="center"/>
          </w:tcPr>
          <w:p>
            <w:pPr>
              <w:spacing w:line="300" w:lineRule="exact"/>
              <w:jc w:val="center"/>
              <w:textAlignment w:val="center"/>
              <w:rPr>
                <w:kern w:val="2"/>
                <w:sz w:val="21"/>
                <w:szCs w:val="21"/>
                <w:lang w:val="en-US" w:eastAsia="zh-CN" w:bidi="ar-SA"/>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652" w:type="pct"/>
            <w:noWrap w:val="0"/>
            <w:vAlign w:val="center"/>
          </w:tcPr>
          <w:p>
            <w:pPr>
              <w:jc w:val="center"/>
              <w:textAlignment w:val="center"/>
              <w:rPr>
                <w:color w:val="000000"/>
                <w:szCs w:val="21"/>
              </w:rPr>
            </w:pPr>
            <w:r>
              <w:rPr>
                <w:color w:val="000000"/>
                <w:szCs w:val="21"/>
              </w:rPr>
              <w:t>9</w:t>
            </w:r>
          </w:p>
        </w:tc>
        <w:tc>
          <w:tcPr>
            <w:tcW w:w="616" w:type="pct"/>
            <w:vMerge w:val="restart"/>
            <w:noWrap w:val="0"/>
            <w:vAlign w:val="center"/>
          </w:tcPr>
          <w:p>
            <w:pPr>
              <w:jc w:val="center"/>
              <w:textAlignment w:val="center"/>
              <w:rPr>
                <w:color w:val="000000"/>
                <w:szCs w:val="21"/>
              </w:rPr>
            </w:pPr>
            <w:r>
              <w:rPr>
                <w:color w:val="000000"/>
                <w:szCs w:val="21"/>
              </w:rPr>
              <w:t>表面涂层理化性能（木制件漆膜涂层）</w:t>
            </w:r>
          </w:p>
        </w:tc>
        <w:tc>
          <w:tcPr>
            <w:tcW w:w="2522" w:type="pct"/>
            <w:noWrap w:val="0"/>
            <w:vAlign w:val="center"/>
          </w:tcPr>
          <w:p>
            <w:pPr>
              <w:jc w:val="center"/>
              <w:textAlignment w:val="center"/>
              <w:rPr>
                <w:color w:val="000000"/>
                <w:szCs w:val="21"/>
              </w:rPr>
            </w:pPr>
            <w:r>
              <w:rPr>
                <w:color w:val="000000"/>
                <w:szCs w:val="21"/>
              </w:rPr>
              <w:t>附着力</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10</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耐磨性</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52" w:type="pct"/>
            <w:noWrap w:val="0"/>
            <w:vAlign w:val="center"/>
          </w:tcPr>
          <w:p>
            <w:pPr>
              <w:jc w:val="center"/>
              <w:textAlignment w:val="center"/>
              <w:rPr>
                <w:color w:val="000000"/>
                <w:szCs w:val="21"/>
              </w:rPr>
            </w:pPr>
            <w:r>
              <w:rPr>
                <w:color w:val="000000"/>
                <w:szCs w:val="21"/>
              </w:rPr>
              <w:t>11</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耐冷热温差</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12</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抗冲击</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13</w:t>
            </w:r>
          </w:p>
        </w:tc>
        <w:tc>
          <w:tcPr>
            <w:tcW w:w="616" w:type="pct"/>
            <w:vMerge w:val="restart"/>
            <w:noWrap w:val="0"/>
            <w:vAlign w:val="center"/>
          </w:tcPr>
          <w:p>
            <w:pPr>
              <w:jc w:val="center"/>
              <w:textAlignment w:val="center"/>
              <w:rPr>
                <w:color w:val="000000"/>
                <w:szCs w:val="21"/>
              </w:rPr>
            </w:pPr>
            <w:r>
              <w:rPr>
                <w:color w:val="000000"/>
                <w:szCs w:val="21"/>
              </w:rPr>
              <w:t>表面涂层理化性能（金属件表面涂层）</w:t>
            </w:r>
          </w:p>
        </w:tc>
        <w:tc>
          <w:tcPr>
            <w:tcW w:w="2522" w:type="pct"/>
            <w:noWrap w:val="0"/>
            <w:vAlign w:val="center"/>
          </w:tcPr>
          <w:p>
            <w:pPr>
              <w:jc w:val="center"/>
              <w:textAlignment w:val="center"/>
              <w:rPr>
                <w:color w:val="000000"/>
                <w:szCs w:val="21"/>
              </w:rPr>
            </w:pPr>
            <w:r>
              <w:rPr>
                <w:color w:val="000000"/>
                <w:szCs w:val="21"/>
              </w:rPr>
              <w:t>附着力</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jc w:val="center"/>
              <w:textAlignment w:val="center"/>
              <w:rPr>
                <w:color w:val="000000"/>
                <w:szCs w:val="21"/>
              </w:rPr>
            </w:pPr>
            <w:r>
              <w:rPr>
                <w:color w:val="000000"/>
                <w:szCs w:val="21"/>
              </w:rPr>
              <w:t>14</w:t>
            </w: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color w:val="000000"/>
                <w:szCs w:val="21"/>
              </w:rPr>
            </w:pPr>
            <w:r>
              <w:rPr>
                <w:color w:val="000000"/>
                <w:szCs w:val="21"/>
              </w:rPr>
              <w:t>耐腐蚀</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52" w:type="pct"/>
            <w:noWrap w:val="0"/>
            <w:vAlign w:val="center"/>
          </w:tcPr>
          <w:p>
            <w:pPr>
              <w:jc w:val="center"/>
              <w:textAlignment w:val="center"/>
              <w:rPr>
                <w:color w:val="000000"/>
                <w:szCs w:val="21"/>
              </w:rPr>
            </w:pPr>
            <w:r>
              <w:rPr>
                <w:color w:val="000000"/>
                <w:szCs w:val="21"/>
              </w:rPr>
              <w:t>15</w:t>
            </w:r>
          </w:p>
        </w:tc>
        <w:tc>
          <w:tcPr>
            <w:tcW w:w="616" w:type="pct"/>
            <w:noWrap w:val="0"/>
            <w:vAlign w:val="center"/>
          </w:tcPr>
          <w:p>
            <w:pPr>
              <w:jc w:val="center"/>
              <w:textAlignment w:val="center"/>
              <w:rPr>
                <w:color w:val="000000"/>
                <w:szCs w:val="21"/>
              </w:rPr>
            </w:pPr>
            <w:r>
              <w:rPr>
                <w:color w:val="000000"/>
                <w:szCs w:val="21"/>
              </w:rPr>
              <w:t>表面涂层理化性能（金属件电镀层）</w:t>
            </w:r>
          </w:p>
        </w:tc>
        <w:tc>
          <w:tcPr>
            <w:tcW w:w="2522" w:type="pct"/>
            <w:noWrap w:val="0"/>
            <w:vAlign w:val="center"/>
          </w:tcPr>
          <w:p>
            <w:pPr>
              <w:jc w:val="center"/>
              <w:textAlignment w:val="center"/>
              <w:rPr>
                <w:color w:val="000000"/>
                <w:szCs w:val="21"/>
              </w:rPr>
            </w:pPr>
            <w:r>
              <w:rPr>
                <w:color w:val="000000"/>
                <w:szCs w:val="21"/>
              </w:rPr>
              <w:t>耐腐蚀</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spacing w:line="300" w:lineRule="exact"/>
              <w:jc w:val="center"/>
              <w:textAlignment w:val="center"/>
              <w:rPr>
                <w:rFonts w:hint="default" w:eastAsia="宋体"/>
                <w:color w:val="auto"/>
                <w:szCs w:val="21"/>
                <w:lang w:val="en-US" w:eastAsia="zh-CN"/>
              </w:rPr>
            </w:pPr>
            <w:r>
              <w:rPr>
                <w:rFonts w:hint="eastAsia"/>
                <w:color w:val="auto"/>
                <w:szCs w:val="21"/>
                <w:lang w:val="en-US" w:eastAsia="zh-CN"/>
              </w:rPr>
              <w:t>16</w:t>
            </w:r>
          </w:p>
        </w:tc>
        <w:tc>
          <w:tcPr>
            <w:tcW w:w="616" w:type="pct"/>
            <w:noWrap w:val="0"/>
            <w:vAlign w:val="center"/>
          </w:tcPr>
          <w:p>
            <w:pPr>
              <w:spacing w:line="300" w:lineRule="exact"/>
              <w:jc w:val="center"/>
              <w:textAlignment w:val="center"/>
              <w:rPr>
                <w:color w:val="auto"/>
                <w:szCs w:val="21"/>
              </w:rPr>
            </w:pPr>
            <w:r>
              <w:rPr>
                <w:color w:val="auto"/>
                <w:szCs w:val="21"/>
              </w:rPr>
              <w:t>覆面材料理化性能</w:t>
            </w:r>
            <w:r>
              <w:rPr>
                <w:rFonts w:hint="eastAsia"/>
                <w:color w:val="auto"/>
                <w:szCs w:val="21"/>
              </w:rPr>
              <w:t>—纺织面料</w:t>
            </w:r>
          </w:p>
        </w:tc>
        <w:tc>
          <w:tcPr>
            <w:tcW w:w="2522" w:type="pct"/>
            <w:noWrap w:val="0"/>
            <w:vAlign w:val="center"/>
          </w:tcPr>
          <w:p>
            <w:pPr>
              <w:spacing w:line="300" w:lineRule="exact"/>
              <w:jc w:val="center"/>
              <w:textAlignment w:val="center"/>
              <w:rPr>
                <w:color w:val="auto"/>
                <w:szCs w:val="21"/>
              </w:rPr>
            </w:pPr>
            <w:r>
              <w:rPr>
                <w:color w:val="auto"/>
                <w:szCs w:val="21"/>
              </w:rPr>
              <w:t>色牢度</w:t>
            </w:r>
          </w:p>
        </w:tc>
        <w:tc>
          <w:tcPr>
            <w:tcW w:w="1207" w:type="pct"/>
            <w:noWrap w:val="0"/>
            <w:vAlign w:val="center"/>
          </w:tcPr>
          <w:p>
            <w:pPr>
              <w:spacing w:line="300" w:lineRule="exact"/>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spacing w:line="300" w:lineRule="exact"/>
              <w:jc w:val="center"/>
              <w:textAlignment w:val="center"/>
              <w:rPr>
                <w:rFonts w:hint="default" w:eastAsia="宋体"/>
                <w:color w:val="auto"/>
                <w:kern w:val="2"/>
                <w:sz w:val="21"/>
                <w:szCs w:val="21"/>
                <w:lang w:val="en-US" w:eastAsia="zh-CN" w:bidi="ar-SA"/>
              </w:rPr>
            </w:pPr>
            <w:r>
              <w:rPr>
                <w:rFonts w:hint="eastAsia"/>
                <w:color w:val="auto"/>
                <w:szCs w:val="21"/>
                <w:lang w:val="en-US" w:eastAsia="zh-CN"/>
              </w:rPr>
              <w:t>17</w:t>
            </w:r>
          </w:p>
        </w:tc>
        <w:tc>
          <w:tcPr>
            <w:tcW w:w="616" w:type="pct"/>
            <w:noWrap w:val="0"/>
            <w:vAlign w:val="center"/>
          </w:tcPr>
          <w:p>
            <w:pPr>
              <w:spacing w:line="300" w:lineRule="exact"/>
              <w:jc w:val="center"/>
              <w:textAlignment w:val="center"/>
              <w:rPr>
                <w:color w:val="auto"/>
                <w:szCs w:val="21"/>
              </w:rPr>
            </w:pPr>
            <w:r>
              <w:rPr>
                <w:color w:val="auto"/>
                <w:szCs w:val="21"/>
              </w:rPr>
              <w:t>覆面材料理化性能</w:t>
            </w:r>
            <w:r>
              <w:rPr>
                <w:rFonts w:hint="eastAsia"/>
                <w:color w:val="auto"/>
                <w:szCs w:val="21"/>
              </w:rPr>
              <w:t>—皮革/再生皮（革）</w:t>
            </w:r>
          </w:p>
        </w:tc>
        <w:tc>
          <w:tcPr>
            <w:tcW w:w="2522" w:type="pct"/>
            <w:noWrap w:val="0"/>
            <w:vAlign w:val="center"/>
          </w:tcPr>
          <w:p>
            <w:pPr>
              <w:spacing w:line="300" w:lineRule="exact"/>
              <w:jc w:val="center"/>
              <w:textAlignment w:val="center"/>
              <w:rPr>
                <w:color w:val="auto"/>
                <w:szCs w:val="21"/>
              </w:rPr>
            </w:pPr>
            <w:bookmarkStart w:id="0" w:name="_GoBack"/>
            <w:bookmarkEnd w:id="0"/>
            <w:r>
              <w:rPr>
                <w:color w:val="auto"/>
                <w:szCs w:val="21"/>
              </w:rPr>
              <w:t>涂层黏着牢度</w:t>
            </w:r>
          </w:p>
        </w:tc>
        <w:tc>
          <w:tcPr>
            <w:tcW w:w="1207" w:type="pct"/>
            <w:noWrap w:val="0"/>
            <w:vAlign w:val="center"/>
          </w:tcPr>
          <w:p>
            <w:pPr>
              <w:spacing w:line="300" w:lineRule="exact"/>
              <w:jc w:val="center"/>
              <w:textAlignment w:val="center"/>
              <w:rPr>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2" w:type="pct"/>
            <w:noWrap w:val="0"/>
            <w:vAlign w:val="center"/>
          </w:tcPr>
          <w:p>
            <w:pPr>
              <w:spacing w:line="300" w:lineRule="exact"/>
              <w:jc w:val="center"/>
              <w:textAlignment w:val="center"/>
              <w:rPr>
                <w:rFonts w:hint="default" w:eastAsia="宋体"/>
                <w:color w:val="000000"/>
                <w:kern w:val="2"/>
                <w:sz w:val="21"/>
                <w:szCs w:val="21"/>
                <w:lang w:val="en-US" w:eastAsia="zh-CN" w:bidi="ar-SA"/>
              </w:rPr>
            </w:pPr>
            <w:r>
              <w:rPr>
                <w:rFonts w:hint="eastAsia"/>
                <w:szCs w:val="21"/>
                <w:lang w:val="en-US" w:eastAsia="zh-CN"/>
              </w:rPr>
              <w:t>18</w:t>
            </w:r>
          </w:p>
        </w:tc>
        <w:tc>
          <w:tcPr>
            <w:tcW w:w="616" w:type="pct"/>
            <w:noWrap w:val="0"/>
            <w:vAlign w:val="center"/>
          </w:tcPr>
          <w:p>
            <w:pPr>
              <w:jc w:val="center"/>
              <w:textAlignment w:val="center"/>
              <w:rPr>
                <w:color w:val="000000"/>
                <w:szCs w:val="21"/>
              </w:rPr>
            </w:pPr>
            <w:r>
              <w:rPr>
                <w:color w:val="000000"/>
                <w:szCs w:val="21"/>
              </w:rPr>
              <w:t>力学性能</w:t>
            </w:r>
          </w:p>
        </w:tc>
        <w:tc>
          <w:tcPr>
            <w:tcW w:w="2522" w:type="pct"/>
            <w:noWrap w:val="0"/>
            <w:vAlign w:val="center"/>
          </w:tcPr>
          <w:p>
            <w:pPr>
              <w:jc w:val="center"/>
              <w:textAlignment w:val="center"/>
              <w:rPr>
                <w:color w:val="000000"/>
                <w:szCs w:val="21"/>
              </w:rPr>
            </w:pPr>
            <w:r>
              <w:rPr>
                <w:color w:val="000000"/>
                <w:szCs w:val="21"/>
              </w:rPr>
              <w:t>沙发座、背及扶手耐久性</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652" w:type="pct"/>
            <w:vMerge w:val="restart"/>
            <w:noWrap w:val="0"/>
            <w:vAlign w:val="center"/>
          </w:tcPr>
          <w:p>
            <w:pPr>
              <w:jc w:val="center"/>
              <w:textAlignment w:val="center"/>
              <w:rPr>
                <w:rFonts w:hint="default" w:eastAsia="宋体"/>
                <w:color w:val="000000"/>
                <w:szCs w:val="21"/>
                <w:lang w:val="en-US" w:eastAsia="zh-CN"/>
              </w:rPr>
            </w:pPr>
            <w:r>
              <w:rPr>
                <w:rFonts w:hint="eastAsia" w:eastAsia="宋体"/>
                <w:color w:val="000000"/>
                <w:szCs w:val="21"/>
                <w:lang w:val="en-US" w:eastAsia="zh-CN"/>
              </w:rPr>
              <w:t>19</w:t>
            </w:r>
          </w:p>
        </w:tc>
        <w:tc>
          <w:tcPr>
            <w:tcW w:w="616" w:type="pct"/>
            <w:vMerge w:val="restart"/>
            <w:noWrap w:val="0"/>
            <w:vAlign w:val="center"/>
          </w:tcPr>
          <w:p>
            <w:pPr>
              <w:jc w:val="center"/>
              <w:textAlignment w:val="center"/>
              <w:rPr>
                <w:color w:val="000000"/>
                <w:szCs w:val="21"/>
              </w:rPr>
            </w:pPr>
            <w:r>
              <w:rPr>
                <w:color w:val="000000"/>
                <w:szCs w:val="21"/>
              </w:rPr>
              <w:t>安全性能</w:t>
            </w:r>
          </w:p>
        </w:tc>
        <w:tc>
          <w:tcPr>
            <w:tcW w:w="2522" w:type="pct"/>
            <w:noWrap w:val="0"/>
            <w:vAlign w:val="center"/>
          </w:tcPr>
          <w:p>
            <w:pPr>
              <w:jc w:val="center"/>
              <w:textAlignment w:val="center"/>
              <w:rPr>
                <w:color w:val="000000"/>
                <w:szCs w:val="21"/>
              </w:rPr>
            </w:pPr>
            <w:r>
              <w:rPr>
                <w:szCs w:val="21"/>
              </w:rPr>
              <w:t>结构安全性</w:t>
            </w:r>
          </w:p>
        </w:tc>
        <w:tc>
          <w:tcPr>
            <w:tcW w:w="1207" w:type="pct"/>
            <w:noWrap w:val="0"/>
            <w:vAlign w:val="center"/>
          </w:tcPr>
          <w:p>
            <w:pPr>
              <w:jc w:val="center"/>
              <w:textAlignment w:val="center"/>
              <w:rPr>
                <w:color w:val="000000"/>
                <w:szCs w:val="21"/>
              </w:rPr>
            </w:pPr>
            <w:r>
              <w:rPr>
                <w:szCs w:val="21"/>
              </w:rPr>
              <w:t>QB/T 1952.1—2023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652" w:type="pct"/>
            <w:vMerge w:val="continue"/>
            <w:noWrap w:val="0"/>
            <w:vAlign w:val="center"/>
          </w:tcPr>
          <w:p>
            <w:pPr>
              <w:jc w:val="center"/>
              <w:textAlignment w:val="center"/>
              <w:rPr>
                <w:color w:val="000000"/>
                <w:szCs w:val="21"/>
              </w:rPr>
            </w:pPr>
          </w:p>
        </w:tc>
        <w:tc>
          <w:tcPr>
            <w:tcW w:w="616" w:type="pct"/>
            <w:vMerge w:val="continue"/>
            <w:noWrap w:val="0"/>
            <w:vAlign w:val="center"/>
          </w:tcPr>
          <w:p>
            <w:pPr>
              <w:jc w:val="center"/>
              <w:textAlignment w:val="center"/>
              <w:rPr>
                <w:color w:val="000000"/>
                <w:szCs w:val="21"/>
              </w:rPr>
            </w:pPr>
          </w:p>
        </w:tc>
        <w:tc>
          <w:tcPr>
            <w:tcW w:w="2522" w:type="pct"/>
            <w:noWrap w:val="0"/>
            <w:vAlign w:val="center"/>
          </w:tcPr>
          <w:p>
            <w:pPr>
              <w:jc w:val="center"/>
              <w:textAlignment w:val="center"/>
              <w:rPr>
                <w:rFonts w:hint="eastAsia" w:eastAsia="宋体"/>
                <w:color w:val="000000"/>
                <w:szCs w:val="21"/>
                <w:lang w:eastAsia="zh-CN"/>
              </w:rPr>
            </w:pPr>
            <w:r>
              <w:rPr>
                <w:rFonts w:hint="eastAsia"/>
                <w:color w:val="000000"/>
                <w:szCs w:val="21"/>
                <w:lang w:val="en-US" w:eastAsia="zh-CN"/>
              </w:rPr>
              <w:t>阻燃性</w:t>
            </w:r>
          </w:p>
        </w:tc>
        <w:tc>
          <w:tcPr>
            <w:tcW w:w="1207" w:type="pct"/>
            <w:noWrap w:val="0"/>
            <w:vAlign w:val="center"/>
          </w:tcPr>
          <w:p>
            <w:pPr>
              <w:spacing w:line="300" w:lineRule="exact"/>
              <w:jc w:val="center"/>
              <w:textAlignment w:val="center"/>
              <w:rPr>
                <w:szCs w:val="21"/>
              </w:rPr>
            </w:pPr>
            <w:r>
              <w:rPr>
                <w:szCs w:val="21"/>
              </w:rPr>
              <w:t>GB 17927.1—2011</w:t>
            </w:r>
          </w:p>
          <w:p>
            <w:pPr>
              <w:jc w:val="center"/>
              <w:textAlignment w:val="center"/>
              <w:rPr>
                <w:color w:val="000000"/>
                <w:szCs w:val="21"/>
              </w:rPr>
            </w:pPr>
            <w:r>
              <w:rPr>
                <w:szCs w:val="21"/>
              </w:rPr>
              <w:t>GB 17927.2—2011</w:t>
            </w:r>
          </w:p>
        </w:tc>
      </w:tr>
    </w:tbl>
    <w:p>
      <w:pPr>
        <w:adjustRightInd w:val="0"/>
        <w:snapToGrid w:val="0"/>
        <w:spacing w:line="440" w:lineRule="exact"/>
        <w:ind w:firstLine="420" w:firstLineChars="200"/>
        <w:rPr>
          <w:rFonts w:hint="eastAsia" w:ascii="宋体" w:hAnsi="宋体"/>
          <w:color w:val="000000"/>
          <w:szCs w:val="21"/>
        </w:rPr>
      </w:pPr>
      <w:r>
        <w:rPr>
          <w:rFonts w:hint="eastAsia"/>
          <w:color w:val="000000"/>
          <w:szCs w:val="21"/>
        </w:rPr>
        <w:t>执行企业标准、团体标准、地方标准的产品，检验项目参照上述内容执行。</w:t>
      </w:r>
    </w:p>
    <w:p>
      <w:pPr>
        <w:spacing w:line="440" w:lineRule="exact"/>
        <w:ind w:firstLine="420" w:firstLineChars="200"/>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eastAsia" w:ascii="宋体" w:hAnsi="宋体"/>
          <w:szCs w:val="21"/>
        </w:rPr>
      </w:pPr>
    </w:p>
    <w:p>
      <w:pPr>
        <w:spacing w:line="440" w:lineRule="exact"/>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hint="eastAsia" w:ascii="宋体" w:hAnsi="宋体"/>
          <w:color w:val="000000"/>
          <w:szCs w:val="21"/>
        </w:rPr>
      </w:pPr>
      <w:r>
        <w:rPr>
          <w:rFonts w:hint="eastAsia" w:ascii="宋体" w:hAnsi="宋体"/>
          <w:color w:val="000000"/>
          <w:szCs w:val="21"/>
        </w:rPr>
        <w:t>3.1依据标准</w:t>
      </w:r>
    </w:p>
    <w:p>
      <w:pPr>
        <w:snapToGrid w:val="0"/>
        <w:spacing w:line="440" w:lineRule="exact"/>
        <w:ind w:firstLine="417" w:firstLineChars="199"/>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 17927.1-2011 软体家具 床垫和沙发 抗引燃特性的评定 第1部分：阴燃的香烟</w:t>
      </w:r>
    </w:p>
    <w:p>
      <w:pPr>
        <w:snapToGrid w:val="0"/>
        <w:spacing w:line="440" w:lineRule="exact"/>
        <w:ind w:left="420" w:leftChars="200" w:firstLine="0" w:firstLineChars="0"/>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 17927.2-2011 软体家具 床垫和沙发 抗引燃特性的评定 第2部分：模拟火柴火焰</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QB/T 1952.1-2012</w:t>
      </w:r>
      <w:r>
        <w:rPr>
          <w:rFonts w:hint="eastAsia" w:ascii="宋体" w:hAnsi="宋体" w:eastAsia="宋体" w:cs="Times New Roman"/>
          <w:color w:val="000000"/>
          <w:szCs w:val="21"/>
          <w:lang w:val="en-US" w:eastAsia="zh-CN"/>
        </w:rPr>
        <w:t xml:space="preserve"> </w:t>
      </w:r>
      <w:r>
        <w:rPr>
          <w:rFonts w:hint="eastAsia" w:ascii="宋体" w:hAnsi="宋体" w:eastAsia="宋体" w:cs="Times New Roman"/>
          <w:color w:val="000000"/>
          <w:szCs w:val="21"/>
        </w:rPr>
        <w:t>软体家具 沙发</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QB/T 1952.1-2023</w:t>
      </w:r>
      <w:r>
        <w:rPr>
          <w:rFonts w:hint="eastAsia" w:ascii="宋体" w:hAnsi="宋体" w:eastAsia="宋体" w:cs="Times New Roman"/>
          <w:color w:val="000000"/>
          <w:szCs w:val="21"/>
          <w:lang w:val="en-US" w:eastAsia="zh-CN"/>
        </w:rPr>
        <w:t xml:space="preserve"> </w:t>
      </w:r>
      <w:r>
        <w:rPr>
          <w:rFonts w:hint="eastAsia" w:ascii="宋体" w:hAnsi="宋体" w:eastAsia="宋体" w:cs="Times New Roman"/>
          <w:color w:val="000000"/>
          <w:szCs w:val="21"/>
        </w:rPr>
        <w:t>软体家具 沙发</w:t>
      </w:r>
    </w:p>
    <w:p>
      <w:pPr>
        <w:snapToGrid w:val="0"/>
        <w:spacing w:line="440" w:lineRule="exact"/>
        <w:ind w:left="420" w:leftChars="200" w:firstLine="0" w:firstLineChars="0"/>
        <w:rPr>
          <w:rFonts w:hint="eastAsia" w:ascii="宋体" w:hAnsi="宋体"/>
          <w:szCs w:val="21"/>
        </w:rPr>
      </w:pPr>
      <w:r>
        <w:rPr>
          <w:rFonts w:hint="eastAsia" w:ascii="宋体" w:hAnsi="宋体" w:eastAsia="宋体" w:cs="Times New Roman"/>
          <w:color w:val="000000"/>
          <w:szCs w:val="21"/>
          <w:lang w:val="en-US" w:eastAsia="zh-CN"/>
        </w:rPr>
        <w:t>相</w:t>
      </w:r>
      <w:r>
        <w:rPr>
          <w:rFonts w:hint="eastAsia" w:ascii="宋体" w:hAnsi="宋体"/>
          <w:szCs w:val="21"/>
        </w:rPr>
        <w:t>关的法律、行政法规、部门规章、规范性文件</w:t>
      </w:r>
    </w:p>
    <w:p>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4 附则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本细则代替《重庆市市场监督管理局关于发布《重庆市产品质量监督抽查实施细则（2024年第二批）》的公告中的 《重庆市</w:t>
      </w:r>
      <w:r>
        <w:rPr>
          <w:rFonts w:hint="eastAsia" w:ascii="宋体" w:hAnsi="宋体"/>
          <w:color w:val="000000"/>
          <w:szCs w:val="21"/>
          <w:lang w:eastAsia="zh-CN"/>
        </w:rPr>
        <w:t>沙发</w:t>
      </w:r>
      <w:r>
        <w:rPr>
          <w:rFonts w:hint="eastAsia" w:ascii="宋体" w:hAnsi="宋体"/>
          <w:color w:val="000000"/>
          <w:szCs w:val="21"/>
        </w:rPr>
        <w:t>产品质量监督抽查实施细则（2024年版）》。</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Arial Unicode MS">
    <w:altName w:val="DejaVu Sans"/>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NTU5MTczYzc3NzBjMWQ1MDM5MmNiMDM2YjgyMjQifQ=="/>
  </w:docVars>
  <w:rsids>
    <w:rsidRoot w:val="00172A27"/>
    <w:rsid w:val="000123E2"/>
    <w:rsid w:val="00035BA2"/>
    <w:rsid w:val="00051A44"/>
    <w:rsid w:val="00054A4B"/>
    <w:rsid w:val="000678BE"/>
    <w:rsid w:val="00074DC0"/>
    <w:rsid w:val="00081CBD"/>
    <w:rsid w:val="00090E01"/>
    <w:rsid w:val="000934D1"/>
    <w:rsid w:val="000976DE"/>
    <w:rsid w:val="000A52E9"/>
    <w:rsid w:val="000C79D2"/>
    <w:rsid w:val="000D1505"/>
    <w:rsid w:val="000F78DC"/>
    <w:rsid w:val="00122937"/>
    <w:rsid w:val="00125FD4"/>
    <w:rsid w:val="00156E7D"/>
    <w:rsid w:val="00175E5C"/>
    <w:rsid w:val="001809DD"/>
    <w:rsid w:val="00184CAD"/>
    <w:rsid w:val="001A0011"/>
    <w:rsid w:val="001A37B6"/>
    <w:rsid w:val="001C2C9A"/>
    <w:rsid w:val="001C6F26"/>
    <w:rsid w:val="001D65A4"/>
    <w:rsid w:val="001D7711"/>
    <w:rsid w:val="001E7B13"/>
    <w:rsid w:val="001F3529"/>
    <w:rsid w:val="001F6777"/>
    <w:rsid w:val="001F74EA"/>
    <w:rsid w:val="00232530"/>
    <w:rsid w:val="0023796F"/>
    <w:rsid w:val="00246E24"/>
    <w:rsid w:val="0025336F"/>
    <w:rsid w:val="00253624"/>
    <w:rsid w:val="002629C0"/>
    <w:rsid w:val="00265C22"/>
    <w:rsid w:val="00272ACD"/>
    <w:rsid w:val="0028762F"/>
    <w:rsid w:val="002B2C77"/>
    <w:rsid w:val="002D7F8A"/>
    <w:rsid w:val="002E0D1D"/>
    <w:rsid w:val="002E58C0"/>
    <w:rsid w:val="002F3B57"/>
    <w:rsid w:val="003203A3"/>
    <w:rsid w:val="00342E13"/>
    <w:rsid w:val="00355EA3"/>
    <w:rsid w:val="003755EA"/>
    <w:rsid w:val="00381C2E"/>
    <w:rsid w:val="003936F6"/>
    <w:rsid w:val="003A4A28"/>
    <w:rsid w:val="003C388C"/>
    <w:rsid w:val="003C5FEF"/>
    <w:rsid w:val="003D5080"/>
    <w:rsid w:val="003E178C"/>
    <w:rsid w:val="003E61BF"/>
    <w:rsid w:val="003E7C35"/>
    <w:rsid w:val="00425578"/>
    <w:rsid w:val="00445E86"/>
    <w:rsid w:val="00474E04"/>
    <w:rsid w:val="0047624E"/>
    <w:rsid w:val="00494E03"/>
    <w:rsid w:val="004A13E3"/>
    <w:rsid w:val="004D0C5A"/>
    <w:rsid w:val="004E1396"/>
    <w:rsid w:val="004E6CE3"/>
    <w:rsid w:val="00542E92"/>
    <w:rsid w:val="00543C1A"/>
    <w:rsid w:val="0055508D"/>
    <w:rsid w:val="00556CB2"/>
    <w:rsid w:val="00563EBC"/>
    <w:rsid w:val="00587A52"/>
    <w:rsid w:val="0059720E"/>
    <w:rsid w:val="005A10E6"/>
    <w:rsid w:val="005A3FD0"/>
    <w:rsid w:val="005B5146"/>
    <w:rsid w:val="0060563E"/>
    <w:rsid w:val="00630D32"/>
    <w:rsid w:val="006469F2"/>
    <w:rsid w:val="00663C36"/>
    <w:rsid w:val="00672F80"/>
    <w:rsid w:val="006E1171"/>
    <w:rsid w:val="006F0971"/>
    <w:rsid w:val="007028AE"/>
    <w:rsid w:val="0072334C"/>
    <w:rsid w:val="007252B9"/>
    <w:rsid w:val="00772D94"/>
    <w:rsid w:val="007855FE"/>
    <w:rsid w:val="00786D20"/>
    <w:rsid w:val="007A0B6A"/>
    <w:rsid w:val="007E2BC1"/>
    <w:rsid w:val="007F4084"/>
    <w:rsid w:val="00807319"/>
    <w:rsid w:val="00813A1E"/>
    <w:rsid w:val="00860E11"/>
    <w:rsid w:val="0086179B"/>
    <w:rsid w:val="00891C13"/>
    <w:rsid w:val="00895BEA"/>
    <w:rsid w:val="008A3497"/>
    <w:rsid w:val="008B2666"/>
    <w:rsid w:val="00917A54"/>
    <w:rsid w:val="00924343"/>
    <w:rsid w:val="009255A7"/>
    <w:rsid w:val="0093191F"/>
    <w:rsid w:val="00945662"/>
    <w:rsid w:val="009553CF"/>
    <w:rsid w:val="00977EB2"/>
    <w:rsid w:val="0099113B"/>
    <w:rsid w:val="009C5EA7"/>
    <w:rsid w:val="00A010F7"/>
    <w:rsid w:val="00A016E7"/>
    <w:rsid w:val="00A04E3B"/>
    <w:rsid w:val="00A379E7"/>
    <w:rsid w:val="00A43553"/>
    <w:rsid w:val="00A812F8"/>
    <w:rsid w:val="00AA26E0"/>
    <w:rsid w:val="00AC5391"/>
    <w:rsid w:val="00AE043A"/>
    <w:rsid w:val="00AE4CD4"/>
    <w:rsid w:val="00AF52DF"/>
    <w:rsid w:val="00AF5961"/>
    <w:rsid w:val="00B01D15"/>
    <w:rsid w:val="00B1140D"/>
    <w:rsid w:val="00B410D2"/>
    <w:rsid w:val="00B44494"/>
    <w:rsid w:val="00B7281B"/>
    <w:rsid w:val="00B72C5A"/>
    <w:rsid w:val="00BA198B"/>
    <w:rsid w:val="00BA2111"/>
    <w:rsid w:val="00BB0A4E"/>
    <w:rsid w:val="00BE1AF3"/>
    <w:rsid w:val="00BF2B8C"/>
    <w:rsid w:val="00C23654"/>
    <w:rsid w:val="00C26074"/>
    <w:rsid w:val="00C41D4F"/>
    <w:rsid w:val="00C83B0A"/>
    <w:rsid w:val="00C90544"/>
    <w:rsid w:val="00C90AC0"/>
    <w:rsid w:val="00CA6EF4"/>
    <w:rsid w:val="00CC7E64"/>
    <w:rsid w:val="00CD210B"/>
    <w:rsid w:val="00CE1E0C"/>
    <w:rsid w:val="00CE277E"/>
    <w:rsid w:val="00CF29DB"/>
    <w:rsid w:val="00D145B4"/>
    <w:rsid w:val="00D21C48"/>
    <w:rsid w:val="00D25A19"/>
    <w:rsid w:val="00D53996"/>
    <w:rsid w:val="00D56867"/>
    <w:rsid w:val="00D608D5"/>
    <w:rsid w:val="00D71BF6"/>
    <w:rsid w:val="00D74E38"/>
    <w:rsid w:val="00D95581"/>
    <w:rsid w:val="00DB441E"/>
    <w:rsid w:val="00DE4E16"/>
    <w:rsid w:val="00E02A7F"/>
    <w:rsid w:val="00E07880"/>
    <w:rsid w:val="00E12638"/>
    <w:rsid w:val="00E16C22"/>
    <w:rsid w:val="00E4539C"/>
    <w:rsid w:val="00E52874"/>
    <w:rsid w:val="00E82621"/>
    <w:rsid w:val="00E971EC"/>
    <w:rsid w:val="00EA44EB"/>
    <w:rsid w:val="00ED5570"/>
    <w:rsid w:val="00EE0CED"/>
    <w:rsid w:val="00EF4941"/>
    <w:rsid w:val="00F038D1"/>
    <w:rsid w:val="00F23E70"/>
    <w:rsid w:val="00F4374B"/>
    <w:rsid w:val="00F53A4D"/>
    <w:rsid w:val="00F5617D"/>
    <w:rsid w:val="00F77C9A"/>
    <w:rsid w:val="00F80551"/>
    <w:rsid w:val="00F91BEE"/>
    <w:rsid w:val="00FB0BF1"/>
    <w:rsid w:val="00FB16D4"/>
    <w:rsid w:val="00FB576C"/>
    <w:rsid w:val="00FC3466"/>
    <w:rsid w:val="00FD2AA6"/>
    <w:rsid w:val="00FE488C"/>
    <w:rsid w:val="00FE7E8A"/>
    <w:rsid w:val="00FF2119"/>
    <w:rsid w:val="037457E1"/>
    <w:rsid w:val="039A29B4"/>
    <w:rsid w:val="03B44B04"/>
    <w:rsid w:val="044805D3"/>
    <w:rsid w:val="04790728"/>
    <w:rsid w:val="0DEF13FE"/>
    <w:rsid w:val="0F5012C7"/>
    <w:rsid w:val="0F93343F"/>
    <w:rsid w:val="0FC44D35"/>
    <w:rsid w:val="167728FD"/>
    <w:rsid w:val="173B556C"/>
    <w:rsid w:val="1B352A42"/>
    <w:rsid w:val="20B5148E"/>
    <w:rsid w:val="22442554"/>
    <w:rsid w:val="26A169CC"/>
    <w:rsid w:val="274516C0"/>
    <w:rsid w:val="2D1A5EAD"/>
    <w:rsid w:val="2D21366F"/>
    <w:rsid w:val="2F2B6C52"/>
    <w:rsid w:val="36127758"/>
    <w:rsid w:val="363653AF"/>
    <w:rsid w:val="3C603014"/>
    <w:rsid w:val="40D2460A"/>
    <w:rsid w:val="432E347E"/>
    <w:rsid w:val="44571C60"/>
    <w:rsid w:val="45371C4C"/>
    <w:rsid w:val="487D32FD"/>
    <w:rsid w:val="490C0EF7"/>
    <w:rsid w:val="4A4A03BA"/>
    <w:rsid w:val="4B0A48AF"/>
    <w:rsid w:val="4D1D0D4D"/>
    <w:rsid w:val="4D9B51BF"/>
    <w:rsid w:val="4F3B738B"/>
    <w:rsid w:val="51CB1708"/>
    <w:rsid w:val="54224023"/>
    <w:rsid w:val="57176FF6"/>
    <w:rsid w:val="58075E4C"/>
    <w:rsid w:val="593A1383"/>
    <w:rsid w:val="5D2B0C71"/>
    <w:rsid w:val="5E801686"/>
    <w:rsid w:val="605A3CA3"/>
    <w:rsid w:val="60D16F99"/>
    <w:rsid w:val="61D27669"/>
    <w:rsid w:val="621569FE"/>
    <w:rsid w:val="64C36492"/>
    <w:rsid w:val="6817125A"/>
    <w:rsid w:val="68332398"/>
    <w:rsid w:val="68B46239"/>
    <w:rsid w:val="6BC431CB"/>
    <w:rsid w:val="6C727B74"/>
    <w:rsid w:val="6F9A30C5"/>
    <w:rsid w:val="704C6DBB"/>
    <w:rsid w:val="74584206"/>
    <w:rsid w:val="754C04C8"/>
    <w:rsid w:val="75D157CD"/>
    <w:rsid w:val="763A7564"/>
    <w:rsid w:val="77D54CD0"/>
    <w:rsid w:val="7BAC54D6"/>
    <w:rsid w:val="7E3353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afterLines="0" w:afterAutospacing="0" w:line="240" w:lineRule="auto"/>
      <w:ind w:left="420" w:leftChars="200" w:firstLine="420" w:firstLineChars="200"/>
    </w:pPr>
    <w:rPr>
      <w:sz w:val="21"/>
    </w:rPr>
  </w:style>
  <w:style w:type="paragraph" w:styleId="3">
    <w:name w:val="Body Text Indent"/>
    <w:basedOn w:val="1"/>
    <w:qFormat/>
    <w:uiPriority w:val="0"/>
    <w:pPr>
      <w:spacing w:after="120"/>
      <w:ind w:left="420" w:leftChars="200"/>
    </w:pPr>
  </w:style>
  <w:style w:type="paragraph" w:styleId="4">
    <w:name w:val="Balloon Text"/>
    <w:basedOn w:val="1"/>
    <w:link w:val="11"/>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10">
    <w:name w:val="page number"/>
    <w:basedOn w:val="9"/>
    <w:qFormat/>
    <w:uiPriority w:val="0"/>
  </w:style>
  <w:style w:type="character" w:customStyle="1" w:styleId="11">
    <w:name w:val="批注框文本 Char"/>
    <w:link w:val="4"/>
    <w:semiHidden/>
    <w:qFormat/>
    <w:uiPriority w:val="99"/>
    <w:rPr>
      <w:kern w:val="2"/>
      <w:sz w:val="18"/>
      <w:szCs w:val="18"/>
    </w:rPr>
  </w:style>
  <w:style w:type="character" w:customStyle="1" w:styleId="12">
    <w:name w:val="页脚 Char"/>
    <w:link w:val="5"/>
    <w:qFormat/>
    <w:uiPriority w:val="99"/>
    <w:rPr>
      <w:kern w:val="2"/>
      <w:sz w:val="18"/>
      <w:szCs w:val="18"/>
    </w:rPr>
  </w:style>
  <w:style w:type="character" w:customStyle="1" w:styleId="13">
    <w:name w:val="页眉 Char"/>
    <w:link w:val="6"/>
    <w:semiHidden/>
    <w:qFormat/>
    <w:uiPriority w:val="99"/>
    <w:rPr>
      <w:kern w:val="2"/>
      <w:sz w:val="18"/>
      <w:szCs w:val="18"/>
    </w:rPr>
  </w:style>
  <w:style w:type="paragraph" w:customStyle="1" w:styleId="14">
    <w:name w:val="列出段落1"/>
    <w:basedOn w:val="1"/>
    <w:qFormat/>
    <w:uiPriority w:val="34"/>
    <w:pPr>
      <w:ind w:firstLine="420" w:firstLineChars="200"/>
    </w:pPr>
    <w:rPr>
      <w:rFonts w:ascii="Calibri" w:hAnsi="Calibri"/>
      <w:szCs w:val="22"/>
    </w:rPr>
  </w:style>
  <w:style w:type="paragraph" w:customStyle="1" w:styleId="15">
    <w:name w:val="标准正文"/>
    <w:basedOn w:val="3"/>
    <w:qFormat/>
    <w:uiPriority w:val="0"/>
    <w:pPr>
      <w:spacing w:before="60" w:after="60" w:line="360" w:lineRule="auto"/>
      <w:ind w:left="0" w:leftChars="0" w:firstLine="482"/>
      <w:jc w:val="left"/>
    </w:pPr>
    <w:rPr>
      <w:rFonts w:ascii="Arial" w:hAnsi="Arial"/>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1398</Words>
  <Characters>2197</Characters>
  <Lines>12</Lines>
  <Paragraphs>3</Paragraphs>
  <TotalTime>12</TotalTime>
  <ScaleCrop>false</ScaleCrop>
  <LinksUpToDate>false</LinksUpToDate>
  <CharactersWithSpaces>2291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2023-04-06T20:09:00Z</dcterms:created>
  <dc:creator>Legend User</dc:creator>
  <cp:lastModifiedBy>scjgj</cp:lastModifiedBy>
  <cp:lastPrinted>2019-12-05T15:53:00Z</cp:lastPrinted>
  <dcterms:modified xsi:type="dcterms:W3CDTF">2024-07-01T14:57:35Z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DC1F414E16E342FF82E1F95530093F35_13</vt:lpwstr>
  </property>
</Properties>
</file>