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s="方正仿宋简体"/>
          <w:color w:val="000000"/>
          <w:sz w:val="32"/>
          <w:szCs w:val="32"/>
        </w:rPr>
      </w:pPr>
      <w:r>
        <w:rPr>
          <w:rFonts w:hint="eastAsia" w:ascii="方正小标宋简体" w:hAnsi="宋体" w:eastAsia="方正小标宋简体" w:cs="方正仿宋简体"/>
          <w:color w:val="000000"/>
          <w:sz w:val="32"/>
          <w:szCs w:val="32"/>
        </w:rPr>
        <w:t>重庆市</w:t>
      </w:r>
      <w:r>
        <w:rPr>
          <w:rFonts w:hint="eastAsia" w:ascii="方正小标宋简体" w:hAnsi="宋体" w:eastAsia="方正小标宋简体" w:cs="方正仿宋简体"/>
          <w:color w:val="000000"/>
          <w:sz w:val="32"/>
          <w:szCs w:val="32"/>
          <w:lang w:eastAsia="zh-CN"/>
        </w:rPr>
        <w:t>文具盒</w:t>
      </w:r>
      <w:r>
        <w:rPr>
          <w:rFonts w:hint="eastAsia" w:ascii="方正小标宋简体" w:hAnsi="宋体" w:eastAsia="方正小标宋简体" w:cs="方正仿宋简体"/>
          <w:color w:val="000000"/>
          <w:sz w:val="32"/>
          <w:szCs w:val="32"/>
        </w:rPr>
        <w:t>产品</w:t>
      </w:r>
      <w:r>
        <w:rPr>
          <w:rFonts w:hint="eastAsia" w:ascii="方正小标宋简体" w:hAnsi="宋体" w:eastAsia="方正小标宋简体" w:cs="方正仿宋简体"/>
          <w:color w:val="000000"/>
          <w:sz w:val="32"/>
          <w:szCs w:val="32"/>
          <w:lang w:val="en-US" w:eastAsia="zh-CN"/>
        </w:rPr>
        <w:t>质量</w:t>
      </w:r>
      <w:r>
        <w:rPr>
          <w:rFonts w:hint="eastAsia" w:ascii="方正小标宋简体" w:hAnsi="宋体" w:eastAsia="方正小标宋简体" w:cs="方正仿宋简体"/>
          <w:color w:val="000000"/>
          <w:sz w:val="32"/>
          <w:szCs w:val="32"/>
        </w:rPr>
        <w:t>监督抽查实</w:t>
      </w:r>
      <w:bookmarkStart w:id="0" w:name="_GoBack"/>
      <w:bookmarkEnd w:id="0"/>
      <w:r>
        <w:rPr>
          <w:rFonts w:hint="eastAsia" w:ascii="方正小标宋简体" w:hAnsi="宋体" w:eastAsia="方正小标宋简体" w:cs="方正仿宋简体"/>
          <w:color w:val="000000"/>
          <w:sz w:val="32"/>
          <w:szCs w:val="32"/>
        </w:rPr>
        <w:t>施细则（</w:t>
      </w:r>
      <w:r>
        <w:rPr>
          <w:rFonts w:ascii="方正小标宋简体" w:hAnsi="宋体" w:eastAsia="方正小标宋简体" w:cs="方正仿宋简体"/>
          <w:color w:val="000000"/>
          <w:sz w:val="32"/>
          <w:szCs w:val="32"/>
        </w:rPr>
        <w:t>202</w:t>
      </w:r>
      <w:r>
        <w:rPr>
          <w:rFonts w:hint="eastAsia" w:ascii="方正小标宋简体" w:hAnsi="宋体" w:eastAsia="方正小标宋简体" w:cs="方正仿宋简体"/>
          <w:color w:val="000000"/>
          <w:sz w:val="32"/>
          <w:szCs w:val="32"/>
          <w:lang w:val="en-US" w:eastAsia="zh-CN"/>
        </w:rPr>
        <w:t>4</w:t>
      </w:r>
      <w:r>
        <w:rPr>
          <w:rFonts w:hint="eastAsia" w:ascii="方正小标宋简体" w:hAnsi="宋体" w:eastAsia="方正小标宋简体" w:cs="方正仿宋简体"/>
          <w:color w:val="000000"/>
          <w:sz w:val="32"/>
          <w:szCs w:val="32"/>
        </w:rPr>
        <w:t>年</w:t>
      </w:r>
      <w:r>
        <w:rPr>
          <w:rFonts w:hint="eastAsia" w:ascii="方正小标宋简体" w:hAnsi="宋体" w:eastAsia="方正小标宋简体" w:cs="方正仿宋简体"/>
          <w:color w:val="000000"/>
          <w:sz w:val="32"/>
          <w:szCs w:val="32"/>
          <w:lang w:val="en-US" w:eastAsia="zh-CN"/>
        </w:rPr>
        <w:t>版</w:t>
      </w:r>
      <w:r>
        <w:rPr>
          <w:rFonts w:hint="eastAsia" w:ascii="方正小标宋简体" w:hAnsi="宋体" w:eastAsia="方正小标宋简体" w:cs="方正仿宋简体"/>
          <w:color w:val="000000"/>
          <w:sz w:val="32"/>
          <w:szCs w:val="32"/>
        </w:rPr>
        <w:t>）</w:t>
      </w:r>
    </w:p>
    <w:p>
      <w:pPr>
        <w:snapToGrid w:val="0"/>
        <w:spacing w:line="440" w:lineRule="exact"/>
        <w:ind w:firstLine="359" w:firstLineChars="171"/>
        <w:rPr>
          <w:rFonts w:ascii="宋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eastAsia="宋体"/>
          <w:szCs w:val="21"/>
          <w:lang w:eastAsia="zh-CN"/>
        </w:rPr>
      </w:pPr>
      <w:r>
        <w:rPr>
          <w:rFonts w:hint="eastAsia" w:ascii="宋体" w:hAnsi="宋体"/>
          <w:color w:val="000000"/>
          <w:szCs w:val="21"/>
          <w:lang w:val="en-US" w:eastAsia="zh-CN"/>
        </w:rPr>
        <w:t>金属文具盒</w:t>
      </w:r>
      <w:r>
        <w:rPr>
          <w:rFonts w:hint="eastAsia" w:ascii="宋体" w:hAnsi="宋体"/>
          <w:color w:val="000000"/>
          <w:szCs w:val="21"/>
        </w:rPr>
        <w:t>每批次</w:t>
      </w:r>
      <w:r>
        <w:rPr>
          <w:rFonts w:hint="eastAsia" w:ascii="宋体" w:hAnsi="宋体"/>
          <w:color w:val="000000"/>
          <w:szCs w:val="21"/>
          <w:lang w:val="en-US" w:eastAsia="zh-CN"/>
        </w:rPr>
        <w:t>产品</w:t>
      </w:r>
      <w:r>
        <w:rPr>
          <w:rFonts w:hint="eastAsia" w:ascii="宋体" w:hAnsi="宋体"/>
          <w:color w:val="000000"/>
          <w:szCs w:val="21"/>
        </w:rPr>
        <w:t>抽</w:t>
      </w:r>
      <w:r>
        <w:rPr>
          <w:rFonts w:hint="eastAsia" w:ascii="宋体" w:hAnsi="宋体"/>
          <w:color w:val="000000"/>
          <w:szCs w:val="21"/>
          <w:lang w:val="en-US" w:eastAsia="zh-CN"/>
        </w:rPr>
        <w:t>取样品3</w:t>
      </w:r>
      <w:r>
        <w:rPr>
          <w:rFonts w:hint="eastAsia" w:ascii="宋体" w:hAnsi="宋体"/>
          <w:szCs w:val="21"/>
          <w:lang w:val="en-US" w:eastAsia="zh-CN"/>
        </w:rPr>
        <w:t>个</w:t>
      </w:r>
      <w:r>
        <w:rPr>
          <w:rFonts w:hint="eastAsia"/>
        </w:rPr>
        <w:t>，</w:t>
      </w:r>
      <w:r>
        <w:rPr>
          <w:rFonts w:hint="eastAsia"/>
          <w:lang w:eastAsia="zh-CN"/>
        </w:rPr>
        <w:t>其中</w:t>
      </w:r>
      <w:r>
        <w:rPr>
          <w:rFonts w:hint="eastAsia"/>
          <w:lang w:val="en-US" w:eastAsia="zh-CN"/>
        </w:rPr>
        <w:t>2个作为</w:t>
      </w:r>
      <w:r>
        <w:rPr>
          <w:rFonts w:hint="eastAsia"/>
          <w:lang w:eastAsia="zh-CN"/>
        </w:rPr>
        <w:t>检验样品</w:t>
      </w:r>
      <w:r>
        <w:rPr>
          <w:rFonts w:hint="eastAsia"/>
          <w:lang w:val="en-US" w:eastAsia="zh-CN"/>
        </w:rPr>
        <w:t>，1个作为备用样品</w:t>
      </w:r>
      <w:r>
        <w:t>。</w:t>
      </w:r>
    </w:p>
    <w:p>
      <w:pPr>
        <w:snapToGrid w:val="0"/>
        <w:spacing w:line="440" w:lineRule="exact"/>
        <w:ind w:firstLine="420" w:firstLineChars="200"/>
        <w:rPr>
          <w:rFonts w:hint="eastAsia" w:ascii="宋体" w:eastAsia="宋体"/>
          <w:szCs w:val="21"/>
          <w:lang w:eastAsia="zh-CN"/>
        </w:rPr>
      </w:pPr>
      <w:r>
        <w:rPr>
          <w:rFonts w:hint="eastAsia" w:ascii="宋体" w:hAnsi="宋体"/>
          <w:color w:val="000000"/>
          <w:szCs w:val="21"/>
          <w:lang w:val="en-US" w:eastAsia="zh-CN"/>
        </w:rPr>
        <w:t>塑料文具盒</w:t>
      </w:r>
      <w:r>
        <w:rPr>
          <w:rFonts w:hint="eastAsia" w:ascii="宋体" w:hAnsi="宋体"/>
          <w:color w:val="000000"/>
          <w:szCs w:val="21"/>
        </w:rPr>
        <w:t>每批次</w:t>
      </w:r>
      <w:r>
        <w:rPr>
          <w:rFonts w:hint="eastAsia" w:ascii="宋体" w:hAnsi="宋体"/>
          <w:color w:val="000000"/>
          <w:szCs w:val="21"/>
          <w:lang w:val="en-US" w:eastAsia="zh-CN"/>
        </w:rPr>
        <w:t>产品</w:t>
      </w:r>
      <w:r>
        <w:rPr>
          <w:rFonts w:hint="eastAsia" w:ascii="宋体" w:hAnsi="宋体"/>
          <w:color w:val="000000"/>
          <w:szCs w:val="21"/>
        </w:rPr>
        <w:t>抽</w:t>
      </w:r>
      <w:r>
        <w:rPr>
          <w:rFonts w:hint="eastAsia" w:ascii="宋体" w:hAnsi="宋体"/>
          <w:color w:val="000000"/>
          <w:szCs w:val="21"/>
          <w:lang w:val="en-US" w:eastAsia="zh-CN"/>
        </w:rPr>
        <w:t>取样品7</w:t>
      </w:r>
      <w:r>
        <w:rPr>
          <w:rFonts w:hint="eastAsia" w:ascii="宋体" w:hAnsi="宋体"/>
          <w:szCs w:val="21"/>
          <w:lang w:val="en-US" w:eastAsia="zh-CN"/>
        </w:rPr>
        <w:t>个</w:t>
      </w:r>
      <w:r>
        <w:rPr>
          <w:rFonts w:hint="eastAsia"/>
        </w:rPr>
        <w:t>，</w:t>
      </w:r>
      <w:r>
        <w:rPr>
          <w:rFonts w:hint="eastAsia"/>
          <w:lang w:eastAsia="zh-CN"/>
        </w:rPr>
        <w:t>其中</w:t>
      </w:r>
      <w:r>
        <w:rPr>
          <w:rFonts w:hint="eastAsia"/>
          <w:lang w:val="en-US" w:eastAsia="zh-CN"/>
        </w:rPr>
        <w:t>5个作为</w:t>
      </w:r>
      <w:r>
        <w:rPr>
          <w:rFonts w:hint="eastAsia"/>
          <w:lang w:eastAsia="zh-CN"/>
        </w:rPr>
        <w:t>检验样品</w:t>
      </w:r>
      <w:r>
        <w:rPr>
          <w:rFonts w:hint="eastAsia"/>
          <w:lang w:val="en-US" w:eastAsia="zh-CN"/>
        </w:rPr>
        <w:t>，2个作为备用样品</w:t>
      </w:r>
      <w:r>
        <w:t>。</w:t>
      </w:r>
    </w:p>
    <w:p>
      <w:pPr>
        <w:snapToGrid w:val="0"/>
        <w:spacing w:line="440" w:lineRule="exact"/>
        <w:rPr>
          <w:rFonts w:ascii="黑体" w:hAnsi="宋体" w:eastAsia="黑体"/>
          <w:b/>
          <w:bCs/>
          <w:color w:val="000000"/>
          <w:szCs w:val="21"/>
        </w:rPr>
      </w:pPr>
    </w:p>
    <w:p>
      <w:pPr>
        <w:snapToGrid w:val="0"/>
        <w:spacing w:line="440" w:lineRule="exact"/>
        <w:rPr>
          <w:rFonts w:hint="eastAsia"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表1 金属文具盒</w:t>
      </w: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4"/>
        <w:gridCol w:w="4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spacing w:line="440" w:lineRule="exact"/>
              <w:jc w:val="center"/>
              <w:rPr>
                <w:rFonts w:ascii="宋体"/>
                <w:color w:val="000000"/>
                <w:szCs w:val="21"/>
              </w:rPr>
            </w:pPr>
            <w:r>
              <w:rPr>
                <w:rFonts w:hint="eastAsia" w:ascii="宋体" w:hAnsi="宋体"/>
                <w:color w:val="000000"/>
                <w:szCs w:val="21"/>
                <w:lang w:val="en-US" w:eastAsia="zh-CN"/>
              </w:rPr>
              <w:t xml:space="preserve"> </w:t>
            </w:r>
            <w:r>
              <w:rPr>
                <w:rFonts w:hint="eastAsia" w:ascii="宋体" w:hAnsi="宋体"/>
                <w:color w:val="000000"/>
                <w:szCs w:val="21"/>
              </w:rPr>
              <w:t>序号</w:t>
            </w:r>
          </w:p>
        </w:tc>
        <w:tc>
          <w:tcPr>
            <w:tcW w:w="4114" w:type="dxa"/>
            <w:vAlign w:val="center"/>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4242" w:type="dxa"/>
            <w:vAlign w:val="center"/>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1</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外观</w:t>
            </w:r>
          </w:p>
        </w:tc>
        <w:tc>
          <w:tcPr>
            <w:tcW w:w="4242" w:type="dxa"/>
            <w:vAlign w:val="center"/>
          </w:tcPr>
          <w:p>
            <w:pPr>
              <w:snapToGrid w:val="0"/>
              <w:jc w:val="center"/>
              <w:rPr>
                <w:rFonts w:hint="default" w:ascii="宋体" w:hAnsi="宋体" w:eastAsia="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2</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图案</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3</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紧松</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4</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铰链</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5</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盒及卷边口边</w:t>
            </w:r>
          </w:p>
        </w:tc>
        <w:tc>
          <w:tcPr>
            <w:tcW w:w="4242"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6</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印刷与铁板材料</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2227-1996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7</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边缘、尖端</w:t>
            </w:r>
          </w:p>
        </w:tc>
        <w:tc>
          <w:tcPr>
            <w:tcW w:w="4242" w:type="dxa"/>
            <w:vAlign w:val="center"/>
          </w:tcPr>
          <w:p>
            <w:pPr>
              <w:snapToGrid w:val="0"/>
              <w:jc w:val="center"/>
              <w:rPr>
                <w:rFonts w:hint="eastAsia" w:ascii="宋体" w:hAnsi="宋体"/>
                <w:color w:val="000000"/>
                <w:szCs w:val="21"/>
                <w:lang w:val="en-US" w:eastAsia="zh-CN"/>
              </w:rPr>
            </w:pPr>
            <w:r>
              <w:rPr>
                <w:rFonts w:ascii="宋体" w:hAnsi="宋体"/>
                <w:color w:val="000000"/>
                <w:szCs w:val="21"/>
              </w:rPr>
              <w:t>GB 21027-20</w:t>
            </w:r>
            <w:r>
              <w:rPr>
                <w:rFonts w:hint="eastAsia" w:ascii="宋体" w:hAnsi="宋体"/>
                <w:color w:val="000000"/>
                <w:szCs w:val="21"/>
                <w:lang w:val="en-US" w:eastAsia="zh-CN"/>
              </w:rPr>
              <w:t>20</w:t>
            </w:r>
          </w:p>
        </w:tc>
      </w:tr>
    </w:tbl>
    <w:p>
      <w:pPr>
        <w:snapToGrid w:val="0"/>
        <w:spacing w:line="440" w:lineRule="exact"/>
        <w:jc w:val="center"/>
        <w:rPr>
          <w:rFonts w:hint="eastAsia" w:ascii="宋体" w:hAnsi="宋体" w:eastAsia="宋体" w:cs="宋体"/>
          <w:b w:val="0"/>
          <w:bCs w:val="0"/>
          <w:color w:val="000000"/>
          <w:szCs w:val="21"/>
          <w:lang w:val="en-US" w:eastAsia="zh-CN"/>
        </w:rPr>
      </w:pPr>
      <w:r>
        <w:rPr>
          <w:rFonts w:hint="eastAsia" w:ascii="宋体" w:hAnsi="宋体" w:eastAsia="宋体" w:cs="宋体"/>
          <w:b w:val="0"/>
          <w:bCs w:val="0"/>
          <w:color w:val="000000"/>
          <w:szCs w:val="21"/>
          <w:lang w:val="en-US" w:eastAsia="zh-CN"/>
        </w:rPr>
        <w:t>表2 塑料文具盒</w:t>
      </w: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114"/>
        <w:gridCol w:w="4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spacing w:line="440" w:lineRule="exact"/>
              <w:jc w:val="center"/>
              <w:rPr>
                <w:rFonts w:ascii="宋体"/>
                <w:color w:val="000000"/>
                <w:szCs w:val="21"/>
              </w:rPr>
            </w:pPr>
            <w:r>
              <w:rPr>
                <w:rFonts w:hint="eastAsia" w:ascii="宋体" w:hAnsi="宋体"/>
                <w:color w:val="000000"/>
                <w:szCs w:val="21"/>
                <w:lang w:val="en-US" w:eastAsia="zh-CN"/>
              </w:rPr>
              <w:t xml:space="preserve"> </w:t>
            </w:r>
            <w:r>
              <w:rPr>
                <w:rFonts w:hint="eastAsia" w:ascii="宋体" w:hAnsi="宋体"/>
                <w:color w:val="000000"/>
                <w:szCs w:val="21"/>
              </w:rPr>
              <w:t>序号</w:t>
            </w:r>
          </w:p>
        </w:tc>
        <w:tc>
          <w:tcPr>
            <w:tcW w:w="4114" w:type="dxa"/>
            <w:vAlign w:val="center"/>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4242" w:type="dxa"/>
            <w:vAlign w:val="center"/>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1</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图案要求</w:t>
            </w:r>
          </w:p>
        </w:tc>
        <w:tc>
          <w:tcPr>
            <w:tcW w:w="4242" w:type="dxa"/>
            <w:vAlign w:val="center"/>
          </w:tcPr>
          <w:p>
            <w:pPr>
              <w:snapToGrid w:val="0"/>
              <w:jc w:val="center"/>
              <w:rPr>
                <w:rFonts w:hint="default" w:ascii="宋体" w:hAnsi="宋体" w:eastAsia="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2</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外观要求</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3</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热合</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4</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粘合</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5</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磁性</w:t>
            </w:r>
          </w:p>
        </w:tc>
        <w:tc>
          <w:tcPr>
            <w:tcW w:w="4242"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6</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耐折</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7</w:t>
            </w:r>
          </w:p>
        </w:tc>
        <w:tc>
          <w:tcPr>
            <w:tcW w:w="4114" w:type="dxa"/>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跌落强度</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8</w:t>
            </w:r>
          </w:p>
        </w:tc>
        <w:tc>
          <w:tcPr>
            <w:tcW w:w="4114" w:type="dxa"/>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耐温（-10℃和60℃各2h）</w:t>
            </w:r>
          </w:p>
        </w:tc>
        <w:tc>
          <w:tcPr>
            <w:tcW w:w="4242" w:type="dxa"/>
            <w:vAlign w:val="center"/>
          </w:tcPr>
          <w:p>
            <w:pPr>
              <w:snapToGrid w:val="0"/>
              <w:jc w:val="center"/>
              <w:rPr>
                <w:rFonts w:ascii="宋体" w:hAnsi="宋体"/>
                <w:color w:val="000000"/>
                <w:szCs w:val="21"/>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9</w:t>
            </w:r>
          </w:p>
        </w:tc>
        <w:tc>
          <w:tcPr>
            <w:tcW w:w="4114" w:type="dxa"/>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耐压</w:t>
            </w:r>
          </w:p>
        </w:tc>
        <w:tc>
          <w:tcPr>
            <w:tcW w:w="4242" w:type="dxa"/>
            <w:vAlign w:val="center"/>
          </w:tcPr>
          <w:p>
            <w:pPr>
              <w:snapToGrid w:val="0"/>
              <w:jc w:val="center"/>
              <w:rPr>
                <w:rFonts w:ascii="宋体" w:hAnsi="宋体"/>
                <w:color w:val="000000"/>
                <w:szCs w:val="21"/>
              </w:rPr>
            </w:pPr>
            <w:r>
              <w:rPr>
                <w:rFonts w:hint="eastAsia" w:ascii="宋体" w:hAnsi="宋体"/>
                <w:color w:val="000000"/>
                <w:szCs w:val="21"/>
              </w:rPr>
              <w:t>QB/T 1587-2006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10</w:t>
            </w:r>
          </w:p>
        </w:tc>
        <w:tc>
          <w:tcPr>
            <w:tcW w:w="4114" w:type="dxa"/>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边缘、尖端</w:t>
            </w:r>
          </w:p>
        </w:tc>
        <w:tc>
          <w:tcPr>
            <w:tcW w:w="4242" w:type="dxa"/>
            <w:vAlign w:val="center"/>
          </w:tcPr>
          <w:p>
            <w:pPr>
              <w:snapToGrid w:val="0"/>
              <w:jc w:val="center"/>
              <w:rPr>
                <w:rFonts w:ascii="宋体" w:hAnsi="宋体"/>
                <w:color w:val="000000"/>
                <w:szCs w:val="21"/>
              </w:rPr>
            </w:pPr>
            <w:r>
              <w:rPr>
                <w:rFonts w:ascii="宋体" w:hAnsi="宋体"/>
                <w:color w:val="000000"/>
                <w:szCs w:val="21"/>
              </w:rPr>
              <w:t>GB 21027-20</w:t>
            </w:r>
            <w:r>
              <w:rPr>
                <w:rFonts w:hint="eastAsia" w:ascii="宋体" w:hAnsi="宋体"/>
                <w:color w:val="000000"/>
                <w:szCs w:val="21"/>
                <w:lang w:val="en-US" w:eastAsia="zh-CN"/>
              </w:rPr>
              <w:t>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20" w:firstLineChars="200"/>
        <w:textAlignment w:val="auto"/>
        <w:rPr>
          <w:rFonts w:hint="eastAsia"/>
          <w:color w:val="000000"/>
          <w:szCs w:val="21"/>
          <w:lang w:val="en-US" w:eastAsia="zh-CN"/>
        </w:rPr>
      </w:pPr>
      <w:r>
        <w:rPr>
          <w:rFonts w:hint="eastAsia"/>
          <w:color w:val="000000"/>
          <w:szCs w:val="21"/>
          <w:lang w:val="en-US" w:eastAsia="zh-CN"/>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color w:val="000000"/>
          <w:szCs w:val="21"/>
          <w:lang w:val="en-US" w:eastAsia="zh-CN"/>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hint="eastAsia"/>
          <w:szCs w:val="21"/>
        </w:rPr>
      </w:pPr>
      <w:r>
        <w:rPr>
          <w:rFonts w:ascii="宋体" w:hAnsi="宋体"/>
          <w:color w:val="000000"/>
          <w:szCs w:val="21"/>
        </w:rPr>
        <w:t>GB 21027-20</w:t>
      </w:r>
      <w:r>
        <w:rPr>
          <w:rFonts w:hint="eastAsia" w:ascii="宋体" w:hAnsi="宋体"/>
          <w:color w:val="000000"/>
          <w:szCs w:val="21"/>
          <w:lang w:val="en-US" w:eastAsia="zh-CN"/>
        </w:rPr>
        <w:t>20</w:t>
      </w:r>
      <w:r>
        <w:rPr>
          <w:rFonts w:ascii="宋体" w:hAnsi="宋体"/>
          <w:color w:val="000000"/>
          <w:szCs w:val="21"/>
        </w:rPr>
        <w:t xml:space="preserve"> </w:t>
      </w:r>
      <w:r>
        <w:rPr>
          <w:rFonts w:hint="eastAsia"/>
          <w:szCs w:val="21"/>
        </w:rPr>
        <w:t>学生用品的安全通用要求</w:t>
      </w:r>
    </w:p>
    <w:p>
      <w:pPr>
        <w:snapToGrid w:val="0"/>
        <w:spacing w:line="440" w:lineRule="exact"/>
        <w:ind w:firstLine="420" w:firstLineChars="200"/>
        <w:rPr>
          <w:rFonts w:hint="eastAsia" w:ascii="宋体" w:hAnsi="宋体"/>
          <w:szCs w:val="21"/>
          <w:lang w:eastAsia="zh-CN"/>
        </w:rPr>
      </w:pPr>
      <w:r>
        <w:rPr>
          <w:rFonts w:hint="eastAsia" w:ascii="宋体" w:hAnsi="宋体"/>
          <w:color w:val="000000"/>
          <w:szCs w:val="21"/>
        </w:rPr>
        <w:t>QB/T 2227-1996</w:t>
      </w:r>
      <w:r>
        <w:rPr>
          <w:rFonts w:ascii="宋体" w:hAnsi="宋体"/>
          <w:szCs w:val="21"/>
        </w:rPr>
        <w:t xml:space="preserve">  </w:t>
      </w:r>
      <w:r>
        <w:rPr>
          <w:rFonts w:hint="eastAsia" w:ascii="宋体" w:hAnsi="宋体"/>
          <w:szCs w:val="21"/>
          <w:lang w:eastAsia="zh-CN"/>
        </w:rPr>
        <w:t>金属文具盒</w:t>
      </w:r>
    </w:p>
    <w:p>
      <w:pPr>
        <w:snapToGrid w:val="0"/>
        <w:spacing w:line="440" w:lineRule="exact"/>
        <w:ind w:firstLine="420" w:firstLineChars="200"/>
        <w:rPr>
          <w:rFonts w:hint="eastAsia"/>
          <w:lang w:eastAsia="zh-CN"/>
        </w:rPr>
      </w:pPr>
      <w:r>
        <w:rPr>
          <w:rFonts w:hint="eastAsia" w:ascii="宋体" w:hAnsi="宋体"/>
          <w:color w:val="000000"/>
          <w:szCs w:val="21"/>
        </w:rPr>
        <w:t>QB/T 1587-2006</w:t>
      </w:r>
      <w:r>
        <w:rPr>
          <w:rFonts w:ascii="宋体" w:hAnsi="宋体"/>
          <w:szCs w:val="21"/>
        </w:rPr>
        <w:t xml:space="preserve">  </w:t>
      </w:r>
      <w:r>
        <w:rPr>
          <w:rFonts w:hint="eastAsia" w:ascii="宋体" w:hAnsi="宋体"/>
          <w:szCs w:val="21"/>
          <w:lang w:eastAsia="zh-CN"/>
        </w:rPr>
        <w:t>塑料文具盒</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rPr>
          <w:rFonts w:hint="eastAsia" w:ascii="宋体" w:hAnsi="宋体"/>
          <w:color w:val="000000"/>
          <w:szCs w:val="21"/>
          <w:lang w:val="en-US" w:eastAsia="zh-CN"/>
        </w:rPr>
      </w:pPr>
      <w:r>
        <w:rPr>
          <w:rFonts w:hint="eastAsia" w:ascii="宋体" w:hAnsi="宋体"/>
          <w:color w:val="000000"/>
          <w:szCs w:val="21"/>
          <w:lang w:val="en-US" w:eastAsia="zh-CN"/>
        </w:rPr>
        <w:t>3.2.1 单项判定</w:t>
      </w:r>
    </w:p>
    <w:p>
      <w:pPr>
        <w:snapToGrid w:val="0"/>
        <w:spacing w:line="440" w:lineRule="exact"/>
        <w:ind w:firstLine="420" w:firstLineChars="200"/>
        <w:rPr>
          <w:rFonts w:hint="eastAsia"/>
          <w:lang w:val="en-US" w:eastAsia="zh-CN"/>
        </w:rPr>
      </w:pPr>
      <w:r>
        <w:rPr>
          <w:rFonts w:hint="eastAsia"/>
          <w:lang w:val="en-US" w:eastAsia="zh-CN"/>
        </w:rPr>
        <w:t>抽样环节若无法确认产品等级，则项目按照合格品的技术要求进行判定。</w:t>
      </w:r>
    </w:p>
    <w:p>
      <w:pPr>
        <w:snapToGrid w:val="0"/>
        <w:spacing w:line="440" w:lineRule="exact"/>
        <w:rPr>
          <w:rFonts w:hint="eastAsia" w:ascii="宋体" w:hAnsi="宋体"/>
          <w:color w:val="000000"/>
          <w:szCs w:val="21"/>
        </w:rPr>
      </w:pPr>
      <w:r>
        <w:rPr>
          <w:rFonts w:hint="eastAsia" w:ascii="宋体" w:hAnsi="宋体"/>
          <w:color w:val="000000"/>
          <w:szCs w:val="21"/>
          <w:lang w:val="en-US" w:eastAsia="zh-CN"/>
        </w:rPr>
        <w:t>3.2.2 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c0ZTgwYzc2MWZiYWQ3NjlmNTQ5NGE2OTBjNzMifQ=="/>
  </w:docVars>
  <w:rsids>
    <w:rsidRoot w:val="004E1C1B"/>
    <w:rsid w:val="00017598"/>
    <w:rsid w:val="00070677"/>
    <w:rsid w:val="00071BFB"/>
    <w:rsid w:val="000816CA"/>
    <w:rsid w:val="000A6B06"/>
    <w:rsid w:val="000F47BD"/>
    <w:rsid w:val="00110089"/>
    <w:rsid w:val="00126693"/>
    <w:rsid w:val="00142815"/>
    <w:rsid w:val="002122B4"/>
    <w:rsid w:val="002651E6"/>
    <w:rsid w:val="0027234F"/>
    <w:rsid w:val="00272CA1"/>
    <w:rsid w:val="00276BA0"/>
    <w:rsid w:val="00277D59"/>
    <w:rsid w:val="00292F7F"/>
    <w:rsid w:val="002A21E1"/>
    <w:rsid w:val="002C4216"/>
    <w:rsid w:val="00302B95"/>
    <w:rsid w:val="00344EF9"/>
    <w:rsid w:val="00360E00"/>
    <w:rsid w:val="003808FF"/>
    <w:rsid w:val="00386676"/>
    <w:rsid w:val="003C51F6"/>
    <w:rsid w:val="003F4F40"/>
    <w:rsid w:val="004078C1"/>
    <w:rsid w:val="00444792"/>
    <w:rsid w:val="00473779"/>
    <w:rsid w:val="004A6040"/>
    <w:rsid w:val="004A6875"/>
    <w:rsid w:val="004B72EC"/>
    <w:rsid w:val="004C13EF"/>
    <w:rsid w:val="004E1C1B"/>
    <w:rsid w:val="0050332A"/>
    <w:rsid w:val="00510039"/>
    <w:rsid w:val="005234DA"/>
    <w:rsid w:val="00556685"/>
    <w:rsid w:val="005A790A"/>
    <w:rsid w:val="005B3386"/>
    <w:rsid w:val="00605616"/>
    <w:rsid w:val="00622E51"/>
    <w:rsid w:val="00623104"/>
    <w:rsid w:val="0063289E"/>
    <w:rsid w:val="00636743"/>
    <w:rsid w:val="00644936"/>
    <w:rsid w:val="00653E83"/>
    <w:rsid w:val="0066117E"/>
    <w:rsid w:val="00681809"/>
    <w:rsid w:val="00684A78"/>
    <w:rsid w:val="00684E16"/>
    <w:rsid w:val="006D52B2"/>
    <w:rsid w:val="006E7112"/>
    <w:rsid w:val="006F11F0"/>
    <w:rsid w:val="006F3C2F"/>
    <w:rsid w:val="00701745"/>
    <w:rsid w:val="00707B57"/>
    <w:rsid w:val="00712144"/>
    <w:rsid w:val="00721F6B"/>
    <w:rsid w:val="007349BB"/>
    <w:rsid w:val="007652FF"/>
    <w:rsid w:val="00787874"/>
    <w:rsid w:val="007B2CB6"/>
    <w:rsid w:val="007E2FC8"/>
    <w:rsid w:val="00813A0F"/>
    <w:rsid w:val="00871623"/>
    <w:rsid w:val="008A4E3C"/>
    <w:rsid w:val="008E6FAA"/>
    <w:rsid w:val="00916257"/>
    <w:rsid w:val="009354D0"/>
    <w:rsid w:val="009B04C1"/>
    <w:rsid w:val="009B783F"/>
    <w:rsid w:val="009E131F"/>
    <w:rsid w:val="009E628B"/>
    <w:rsid w:val="00A26D28"/>
    <w:rsid w:val="00A30649"/>
    <w:rsid w:val="00A409F0"/>
    <w:rsid w:val="00A775F3"/>
    <w:rsid w:val="00A871CD"/>
    <w:rsid w:val="00A87EB1"/>
    <w:rsid w:val="00A94967"/>
    <w:rsid w:val="00A957C3"/>
    <w:rsid w:val="00AB5EEF"/>
    <w:rsid w:val="00AF7D1B"/>
    <w:rsid w:val="00B01F8D"/>
    <w:rsid w:val="00B0597E"/>
    <w:rsid w:val="00B43A71"/>
    <w:rsid w:val="00B61E92"/>
    <w:rsid w:val="00B918EF"/>
    <w:rsid w:val="00BC5D4A"/>
    <w:rsid w:val="00BD6C92"/>
    <w:rsid w:val="00BE42E1"/>
    <w:rsid w:val="00BF071F"/>
    <w:rsid w:val="00BF7E2E"/>
    <w:rsid w:val="00C436D6"/>
    <w:rsid w:val="00CA0160"/>
    <w:rsid w:val="00CC476F"/>
    <w:rsid w:val="00CC5CD5"/>
    <w:rsid w:val="00CE4EBA"/>
    <w:rsid w:val="00D2319E"/>
    <w:rsid w:val="00D6128B"/>
    <w:rsid w:val="00D63CC7"/>
    <w:rsid w:val="00DA0F15"/>
    <w:rsid w:val="00DD40C8"/>
    <w:rsid w:val="00DD5955"/>
    <w:rsid w:val="00E21673"/>
    <w:rsid w:val="00E371D6"/>
    <w:rsid w:val="00E766A1"/>
    <w:rsid w:val="00E96D0A"/>
    <w:rsid w:val="00EB1677"/>
    <w:rsid w:val="00EE7D38"/>
    <w:rsid w:val="00EF5E2D"/>
    <w:rsid w:val="00F02B1B"/>
    <w:rsid w:val="00F32133"/>
    <w:rsid w:val="00F36EF4"/>
    <w:rsid w:val="00F6285D"/>
    <w:rsid w:val="00F762D5"/>
    <w:rsid w:val="00F76D14"/>
    <w:rsid w:val="00FA10D3"/>
    <w:rsid w:val="00FB7415"/>
    <w:rsid w:val="00FC7AB5"/>
    <w:rsid w:val="00FF44CB"/>
    <w:rsid w:val="012320B0"/>
    <w:rsid w:val="0192730A"/>
    <w:rsid w:val="03693EDE"/>
    <w:rsid w:val="03BA154F"/>
    <w:rsid w:val="091F1356"/>
    <w:rsid w:val="09B0436D"/>
    <w:rsid w:val="0D1D3C5E"/>
    <w:rsid w:val="0D6231F0"/>
    <w:rsid w:val="100D0AA3"/>
    <w:rsid w:val="10775E30"/>
    <w:rsid w:val="13C37E00"/>
    <w:rsid w:val="143D3F57"/>
    <w:rsid w:val="15F4519C"/>
    <w:rsid w:val="1A455AB3"/>
    <w:rsid w:val="1AFC45E6"/>
    <w:rsid w:val="1E4642BA"/>
    <w:rsid w:val="1E6E5E24"/>
    <w:rsid w:val="1EC55FA8"/>
    <w:rsid w:val="223B0321"/>
    <w:rsid w:val="22B12784"/>
    <w:rsid w:val="25022B2D"/>
    <w:rsid w:val="268B10FC"/>
    <w:rsid w:val="2866761B"/>
    <w:rsid w:val="2A15680F"/>
    <w:rsid w:val="2B2A2982"/>
    <w:rsid w:val="2B8B6FCA"/>
    <w:rsid w:val="2C11454E"/>
    <w:rsid w:val="2C9C4393"/>
    <w:rsid w:val="2D2D2E8B"/>
    <w:rsid w:val="30181DF2"/>
    <w:rsid w:val="31B451EA"/>
    <w:rsid w:val="33BF442F"/>
    <w:rsid w:val="34122305"/>
    <w:rsid w:val="35636C10"/>
    <w:rsid w:val="35C95ACC"/>
    <w:rsid w:val="36795BC7"/>
    <w:rsid w:val="381952A0"/>
    <w:rsid w:val="395D1036"/>
    <w:rsid w:val="3BC14F21"/>
    <w:rsid w:val="4101661E"/>
    <w:rsid w:val="41456CCC"/>
    <w:rsid w:val="46925519"/>
    <w:rsid w:val="4BCA5AB6"/>
    <w:rsid w:val="4C0402CC"/>
    <w:rsid w:val="4D3E448F"/>
    <w:rsid w:val="4E05571D"/>
    <w:rsid w:val="4E216784"/>
    <w:rsid w:val="4EFB7A24"/>
    <w:rsid w:val="50624B47"/>
    <w:rsid w:val="51132EC4"/>
    <w:rsid w:val="513462F8"/>
    <w:rsid w:val="519D55C2"/>
    <w:rsid w:val="51B82493"/>
    <w:rsid w:val="53455F42"/>
    <w:rsid w:val="58536A44"/>
    <w:rsid w:val="58615A54"/>
    <w:rsid w:val="65A96E50"/>
    <w:rsid w:val="6720306E"/>
    <w:rsid w:val="675E3C1D"/>
    <w:rsid w:val="68452518"/>
    <w:rsid w:val="68AA4E85"/>
    <w:rsid w:val="69F02D2F"/>
    <w:rsid w:val="6B08548D"/>
    <w:rsid w:val="6F496AA2"/>
    <w:rsid w:val="6F854BEC"/>
    <w:rsid w:val="70C52C54"/>
    <w:rsid w:val="72244B23"/>
    <w:rsid w:val="73925050"/>
    <w:rsid w:val="747A7CFD"/>
    <w:rsid w:val="75753D85"/>
    <w:rsid w:val="75760A94"/>
    <w:rsid w:val="76AC5347"/>
    <w:rsid w:val="76BC2088"/>
    <w:rsid w:val="77B2501E"/>
    <w:rsid w:val="7957240C"/>
    <w:rsid w:val="7E403049"/>
    <w:rsid w:val="7F7D45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line="700" w:lineRule="exact"/>
      <w:ind w:left="960"/>
    </w:pPr>
    <w:rPr>
      <w:sz w:val="44"/>
    </w:rPr>
  </w:style>
  <w:style w:type="paragraph" w:styleId="4">
    <w:name w:val="Document Map"/>
    <w:basedOn w:val="1"/>
    <w:link w:val="11"/>
    <w:semiHidden/>
    <w:qFormat/>
    <w:uiPriority w:val="99"/>
    <w:pPr>
      <w:shd w:val="clear" w:color="auto" w:fill="000080"/>
    </w:pPr>
  </w:style>
  <w:style w:type="paragraph" w:styleId="5">
    <w:name w:val="footer"/>
    <w:basedOn w:val="1"/>
    <w:link w:val="12"/>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8">
    <w:name w:val="Table Grid"/>
    <w:basedOn w:val="7"/>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autoRedefine/>
    <w:qFormat/>
    <w:uiPriority w:val="99"/>
    <w:rPr>
      <w:rFonts w:cs="Times New Roman"/>
    </w:rPr>
  </w:style>
  <w:style w:type="character" w:customStyle="1" w:styleId="11">
    <w:name w:val="文档结构图 字符"/>
    <w:link w:val="4"/>
    <w:semiHidden/>
    <w:qFormat/>
    <w:locked/>
    <w:uiPriority w:val="99"/>
    <w:rPr>
      <w:rFonts w:ascii="Times New Roman" w:hAnsi="Times New Roman" w:cs="Times New Roman"/>
      <w:sz w:val="2"/>
    </w:rPr>
  </w:style>
  <w:style w:type="character" w:customStyle="1" w:styleId="12">
    <w:name w:val="页脚 字符"/>
    <w:link w:val="5"/>
    <w:qFormat/>
    <w:locked/>
    <w:uiPriority w:val="99"/>
    <w:rPr>
      <w:rFonts w:cs="Times New Roman"/>
      <w:sz w:val="18"/>
      <w:szCs w:val="18"/>
    </w:rPr>
  </w:style>
  <w:style w:type="character" w:customStyle="1" w:styleId="13">
    <w:name w:val="页眉 字符"/>
    <w:link w:val="6"/>
    <w:qFormat/>
    <w:locked/>
    <w:uiPriority w:val="99"/>
    <w:rPr>
      <w:rFonts w:cs="Times New Roman"/>
      <w:sz w:val="18"/>
      <w:szCs w:val="18"/>
    </w:rPr>
  </w:style>
  <w:style w:type="character" w:customStyle="1" w:styleId="14">
    <w:name w:val="页脚 Char1"/>
    <w:semiHidden/>
    <w:qFormat/>
    <w:locked/>
    <w:uiPriority w:val="99"/>
    <w:rPr>
      <w:rFonts w:ascii="Times New Roman" w:hAnsi="Times New Roman" w:eastAsia="宋体" w:cs="Times New Roman"/>
      <w:sz w:val="18"/>
      <w:szCs w:val="18"/>
    </w:rPr>
  </w:style>
  <w:style w:type="character" w:customStyle="1" w:styleId="15">
    <w:name w:val="页眉 Char1"/>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689</Words>
  <Characters>801</Characters>
  <Lines>13</Lines>
  <Paragraphs>3</Paragraphs>
  <TotalTime>0</TotalTime>
  <ScaleCrop>false</ScaleCrop>
  <LinksUpToDate>false</LinksUpToDate>
  <CharactersWithSpaces>819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2021-09-07T06:08:00Z</dcterms:created>
  <dc:creator>pc</dc:creator>
  <cp:lastModifiedBy>胡小东</cp:lastModifiedBy>
  <dcterms:modified xsi:type="dcterms:W3CDTF">2024-06-19T03:46:43Z</dcterms:modified>
  <dc:title>重庆市修正液产品质量监督抽查实施细则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986F6F95E1714A6F8F66858152AB2F51_13</vt:lpwstr>
  </property>
</Properties>
</file>