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eastAsia="方正小标宋简体" w:cs="方正仿宋简体"/>
          <w:color w:val="000000"/>
          <w:sz w:val="32"/>
          <w:szCs w:val="32"/>
        </w:rPr>
      </w:pPr>
      <w:r>
        <w:rPr>
          <w:rFonts w:hint="eastAsia" w:ascii="方正小标宋简体" w:hAnsi="宋体" w:eastAsia="方正小标宋简体" w:cs="方正仿宋简体"/>
          <w:color w:val="000000"/>
          <w:sz w:val="32"/>
          <w:szCs w:val="32"/>
        </w:rPr>
        <w:t>重庆市</w:t>
      </w:r>
      <w:r>
        <w:rPr>
          <w:rFonts w:hint="eastAsia" w:ascii="方正小标宋简体" w:hAnsi="宋体" w:eastAsia="方正小标宋简体" w:cs="方正仿宋简体"/>
          <w:color w:val="000000"/>
          <w:sz w:val="32"/>
          <w:szCs w:val="32"/>
          <w:lang w:eastAsia="zh-CN"/>
        </w:rPr>
        <w:t>彩泥</w:t>
      </w:r>
      <w:r>
        <w:rPr>
          <w:rFonts w:hint="eastAsia" w:ascii="方正小标宋简体" w:hAnsi="宋体" w:eastAsia="方正小标宋简体" w:cs="方正仿宋简体"/>
          <w:color w:val="000000"/>
          <w:sz w:val="32"/>
          <w:szCs w:val="32"/>
        </w:rPr>
        <w:t>产品</w:t>
      </w:r>
      <w:r>
        <w:rPr>
          <w:rFonts w:hint="eastAsia" w:ascii="方正小标宋简体" w:hAnsi="宋体" w:eastAsia="方正小标宋简体" w:cs="方正仿宋简体"/>
          <w:color w:val="000000"/>
          <w:sz w:val="32"/>
          <w:szCs w:val="32"/>
          <w:lang w:val="en-US" w:eastAsia="zh-CN"/>
        </w:rPr>
        <w:t>质量</w:t>
      </w:r>
      <w:r>
        <w:rPr>
          <w:rFonts w:hint="eastAsia" w:ascii="方正小标宋简体" w:hAnsi="宋体" w:eastAsia="方正小标宋简体" w:cs="方正仿宋简体"/>
          <w:color w:val="000000"/>
          <w:sz w:val="32"/>
          <w:szCs w:val="32"/>
        </w:rPr>
        <w:t>监督抽查实施细则（</w:t>
      </w:r>
      <w:r>
        <w:rPr>
          <w:rFonts w:ascii="方正小标宋简体" w:hAnsi="宋体" w:eastAsia="方正小标宋简体" w:cs="方正仿宋简体"/>
          <w:color w:val="000000"/>
          <w:sz w:val="32"/>
          <w:szCs w:val="32"/>
        </w:rPr>
        <w:t>202</w:t>
      </w:r>
      <w:r>
        <w:rPr>
          <w:rFonts w:hint="eastAsia" w:ascii="方正小标宋简体" w:hAnsi="宋体" w:eastAsia="方正小标宋简体" w:cs="方正仿宋简体"/>
          <w:color w:val="000000"/>
          <w:sz w:val="32"/>
          <w:szCs w:val="32"/>
          <w:lang w:val="en-US" w:eastAsia="zh-CN"/>
        </w:rPr>
        <w:t>4</w:t>
      </w:r>
      <w:r>
        <w:rPr>
          <w:rFonts w:hint="eastAsia" w:ascii="方正小标宋简体" w:hAnsi="宋体" w:eastAsia="方正小标宋简体" w:cs="方正仿宋简体"/>
          <w:color w:val="000000"/>
          <w:sz w:val="32"/>
          <w:szCs w:val="32"/>
        </w:rPr>
        <w:t>年</w:t>
      </w:r>
      <w:r>
        <w:rPr>
          <w:rFonts w:hint="eastAsia" w:ascii="方正小标宋简体" w:hAnsi="宋体" w:eastAsia="方正小标宋简体" w:cs="方正仿宋简体"/>
          <w:color w:val="000000"/>
          <w:sz w:val="32"/>
          <w:szCs w:val="32"/>
          <w:lang w:val="en-US" w:eastAsia="zh-CN"/>
        </w:rPr>
        <w:t>版</w:t>
      </w:r>
      <w:r>
        <w:rPr>
          <w:rFonts w:hint="eastAsia" w:ascii="方正小标宋简体" w:hAnsi="宋体" w:eastAsia="方正小标宋简体" w:cs="方正仿宋简体"/>
          <w:color w:val="000000"/>
          <w:sz w:val="32"/>
          <w:szCs w:val="32"/>
        </w:rPr>
        <w:t>）</w:t>
      </w:r>
    </w:p>
    <w:p>
      <w:pPr>
        <w:snapToGrid w:val="0"/>
        <w:spacing w:line="440" w:lineRule="exact"/>
        <w:ind w:firstLine="359" w:firstLineChars="171"/>
        <w:rPr>
          <w:rFonts w:ascii="宋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w:t>
      </w:r>
      <w:bookmarkStart w:id="0" w:name="_GoBack"/>
      <w:bookmarkEnd w:id="0"/>
      <w:r>
        <w:rPr>
          <w:rFonts w:hint="eastAsia" w:ascii="宋体" w:hAnsi="宋体"/>
          <w:color w:val="000000"/>
          <w:szCs w:val="21"/>
        </w:rPr>
        <w:t>法产生。</w:t>
      </w:r>
    </w:p>
    <w:p>
      <w:pPr>
        <w:snapToGrid w:val="0"/>
        <w:spacing w:line="440" w:lineRule="exact"/>
        <w:ind w:firstLine="420" w:firstLineChars="200"/>
        <w:rPr>
          <w:rFonts w:hint="eastAsia" w:ascii="宋体" w:hAnsi="宋体"/>
          <w:color w:val="000000"/>
          <w:szCs w:val="21"/>
          <w:lang w:eastAsia="zh-CN"/>
        </w:rPr>
      </w:pPr>
      <w:r>
        <w:rPr>
          <w:rFonts w:hint="eastAsia" w:ascii="宋体" w:hAnsi="宋体"/>
          <w:color w:val="000000"/>
          <w:szCs w:val="21"/>
        </w:rPr>
        <w:t>每批次</w:t>
      </w:r>
      <w:r>
        <w:rPr>
          <w:rFonts w:hint="eastAsia" w:ascii="宋体" w:hAnsi="宋体"/>
          <w:color w:val="000000"/>
          <w:szCs w:val="21"/>
          <w:lang w:val="en-US" w:eastAsia="zh-CN"/>
        </w:rPr>
        <w:t>产品</w:t>
      </w:r>
      <w:r>
        <w:rPr>
          <w:rFonts w:hint="eastAsia" w:ascii="宋体" w:hAnsi="宋体"/>
          <w:color w:val="000000"/>
          <w:szCs w:val="21"/>
        </w:rPr>
        <w:t>抽</w:t>
      </w:r>
      <w:r>
        <w:rPr>
          <w:rFonts w:hint="eastAsia" w:ascii="宋体" w:hAnsi="宋体"/>
          <w:color w:val="000000"/>
          <w:szCs w:val="21"/>
          <w:lang w:val="en-US" w:eastAsia="zh-CN"/>
        </w:rPr>
        <w:t>取样品6套</w:t>
      </w:r>
      <w:r>
        <w:rPr>
          <w:rFonts w:hint="eastAsia" w:ascii="宋体" w:hAnsi="宋体"/>
          <w:color w:val="000000"/>
          <w:szCs w:val="21"/>
        </w:rPr>
        <w:t>，</w:t>
      </w:r>
      <w:r>
        <w:rPr>
          <w:rFonts w:hint="eastAsia" w:ascii="宋体" w:hAnsi="宋体"/>
          <w:color w:val="000000"/>
          <w:szCs w:val="21"/>
          <w:lang w:eastAsia="zh-CN"/>
        </w:rPr>
        <w:t>其中</w:t>
      </w:r>
      <w:r>
        <w:rPr>
          <w:rFonts w:hint="eastAsia" w:ascii="宋体" w:hAnsi="宋体"/>
          <w:color w:val="000000"/>
          <w:szCs w:val="21"/>
          <w:lang w:val="en-US" w:eastAsia="zh-CN"/>
        </w:rPr>
        <w:t>3套作为</w:t>
      </w:r>
      <w:r>
        <w:rPr>
          <w:rFonts w:hint="eastAsia" w:ascii="宋体" w:hAnsi="宋体"/>
          <w:color w:val="000000"/>
          <w:szCs w:val="21"/>
          <w:lang w:eastAsia="zh-CN"/>
        </w:rPr>
        <w:t>检验样品</w:t>
      </w:r>
      <w:r>
        <w:rPr>
          <w:rFonts w:hint="eastAsia" w:ascii="宋体" w:hAnsi="宋体"/>
          <w:color w:val="000000"/>
          <w:szCs w:val="21"/>
          <w:lang w:val="en-US" w:eastAsia="zh-CN"/>
        </w:rPr>
        <w:t>，3套作为备用样品</w:t>
      </w:r>
      <w:r>
        <w:rPr>
          <w:rFonts w:hint="eastAsia" w:ascii="宋体" w:hAnsi="宋体"/>
          <w:color w:val="000000"/>
          <w:szCs w:val="21"/>
        </w:rPr>
        <w:t>。</w:t>
      </w:r>
      <w:r>
        <w:rPr>
          <w:rFonts w:hint="eastAsia" w:ascii="宋体" w:hAnsi="宋体"/>
          <w:color w:val="000000"/>
          <w:szCs w:val="21"/>
          <w:lang w:eastAsia="zh-CN"/>
        </w:rPr>
        <w:t>（</w:t>
      </w:r>
      <w:r>
        <w:rPr>
          <w:rFonts w:hint="eastAsia" w:ascii="宋体" w:hAnsi="宋体"/>
          <w:color w:val="000000"/>
          <w:szCs w:val="21"/>
          <w:lang w:val="en-US" w:eastAsia="zh-CN"/>
        </w:rPr>
        <w:t>需确认产品为水基型彩泥或非水基型彩泥</w:t>
      </w:r>
      <w:r>
        <w:rPr>
          <w:rFonts w:hint="eastAsia" w:ascii="宋体" w:hAnsi="宋体"/>
          <w:color w:val="000000"/>
          <w:szCs w:val="21"/>
          <w:lang w:eastAsia="zh-CN"/>
        </w:rPr>
        <w:t>）</w:t>
      </w:r>
    </w:p>
    <w:p>
      <w:pPr>
        <w:snapToGrid w:val="0"/>
        <w:spacing w:line="440" w:lineRule="exact"/>
        <w:ind w:firstLine="420" w:firstLineChars="200"/>
        <w:rPr>
          <w:rFonts w:hint="eastAsia" w:ascii="宋体" w:hAnsi="宋体"/>
          <w:color w:val="000000"/>
          <w:szCs w:val="21"/>
        </w:rPr>
      </w:pPr>
    </w:p>
    <w:p>
      <w:pPr>
        <w:snapToGrid w:val="0"/>
        <w:spacing w:line="440" w:lineRule="exact"/>
        <w:rPr>
          <w:rFonts w:hint="eastAsia"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rPr>
          <w:rFonts w:hint="eastAsia" w:ascii="黑体" w:hAnsi="宋体" w:eastAsia="黑体"/>
          <w:color w:val="000000"/>
          <w:szCs w:val="21"/>
        </w:rPr>
      </w:pPr>
    </w:p>
    <w:tbl>
      <w:tblPr>
        <w:tblStyle w:val="7"/>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46"/>
        <w:gridCol w:w="2768"/>
        <w:gridCol w:w="4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spacing w:line="440" w:lineRule="exact"/>
              <w:jc w:val="center"/>
              <w:rPr>
                <w:rFonts w:ascii="宋体"/>
                <w:color w:val="000000"/>
                <w:szCs w:val="21"/>
              </w:rPr>
            </w:pPr>
            <w:r>
              <w:rPr>
                <w:rFonts w:hint="eastAsia" w:ascii="宋体" w:hAnsi="宋体"/>
                <w:color w:val="000000"/>
                <w:szCs w:val="21"/>
                <w:lang w:val="en-US" w:eastAsia="zh-CN"/>
              </w:rPr>
              <w:t xml:space="preserve"> </w:t>
            </w:r>
            <w:r>
              <w:rPr>
                <w:rFonts w:hint="eastAsia" w:ascii="宋体" w:hAnsi="宋体"/>
                <w:color w:val="000000"/>
                <w:szCs w:val="21"/>
              </w:rPr>
              <w:t>序号</w:t>
            </w:r>
          </w:p>
        </w:tc>
        <w:tc>
          <w:tcPr>
            <w:tcW w:w="4114" w:type="dxa"/>
            <w:gridSpan w:val="2"/>
            <w:vAlign w:val="center"/>
          </w:tcPr>
          <w:p>
            <w:pPr>
              <w:snapToGrid w:val="0"/>
              <w:spacing w:line="440" w:lineRule="exact"/>
              <w:jc w:val="center"/>
              <w:rPr>
                <w:rFonts w:ascii="宋体"/>
                <w:color w:val="000000"/>
                <w:szCs w:val="21"/>
              </w:rPr>
            </w:pPr>
            <w:r>
              <w:rPr>
                <w:rFonts w:hint="eastAsia" w:ascii="宋体" w:hAnsi="宋体"/>
                <w:color w:val="000000"/>
                <w:szCs w:val="21"/>
              </w:rPr>
              <w:t>检验项目</w:t>
            </w:r>
          </w:p>
        </w:tc>
        <w:tc>
          <w:tcPr>
            <w:tcW w:w="4242" w:type="dxa"/>
            <w:vAlign w:val="center"/>
          </w:tcPr>
          <w:p>
            <w:pPr>
              <w:snapToGrid w:val="0"/>
              <w:spacing w:line="440" w:lineRule="exact"/>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Merge w:val="restart"/>
            <w:vAlign w:val="center"/>
          </w:tcPr>
          <w:p>
            <w:pPr>
              <w:snapToGrid w:val="0"/>
              <w:spacing w:line="440" w:lineRule="exact"/>
              <w:jc w:val="center"/>
              <w:rPr>
                <w:rFonts w:ascii="宋体"/>
                <w:color w:val="000000"/>
                <w:szCs w:val="21"/>
              </w:rPr>
            </w:pPr>
            <w:r>
              <w:rPr>
                <w:rFonts w:ascii="宋体" w:hAnsi="宋体"/>
                <w:color w:val="000000"/>
                <w:szCs w:val="21"/>
              </w:rPr>
              <w:t>1</w:t>
            </w:r>
          </w:p>
        </w:tc>
        <w:tc>
          <w:tcPr>
            <w:tcW w:w="1346" w:type="dxa"/>
            <w:vMerge w:val="restart"/>
            <w:vAlign w:val="center"/>
          </w:tcPr>
          <w:p>
            <w:pPr>
              <w:widowControl/>
              <w:jc w:val="center"/>
              <w:textAlignment w:val="center"/>
              <w:rPr>
                <w:rFonts w:ascii="宋体"/>
                <w:szCs w:val="21"/>
              </w:rPr>
            </w:pPr>
            <w:r>
              <w:rPr>
                <w:rFonts w:hint="eastAsia" w:ascii="宋体" w:hAnsi="宋体"/>
                <w:szCs w:val="21"/>
              </w:rPr>
              <w:t>可迁移元素</w:t>
            </w:r>
            <w:r>
              <w:rPr>
                <w:rFonts w:hint="eastAsia" w:ascii="宋体" w:hAnsi="宋体"/>
                <w:szCs w:val="21"/>
                <w:lang w:eastAsia="zh-CN"/>
              </w:rPr>
              <w:t>的</w:t>
            </w:r>
            <w:r>
              <w:rPr>
                <w:rFonts w:hint="eastAsia" w:ascii="宋体" w:hAnsi="宋体"/>
                <w:szCs w:val="21"/>
              </w:rPr>
              <w:t>限量</w:t>
            </w:r>
          </w:p>
        </w:tc>
        <w:tc>
          <w:tcPr>
            <w:tcW w:w="2768" w:type="dxa"/>
            <w:vAlign w:val="center"/>
          </w:tcPr>
          <w:p>
            <w:pPr>
              <w:widowControl/>
              <w:jc w:val="center"/>
              <w:textAlignment w:val="center"/>
              <w:rPr>
                <w:rFonts w:ascii="宋体"/>
                <w:szCs w:val="21"/>
              </w:rPr>
            </w:pPr>
            <w:r>
              <w:rPr>
                <w:rFonts w:hint="eastAsia" w:ascii="宋体" w:hAnsi="宋体" w:cs="方正仿宋_GBK"/>
                <w:kern w:val="0"/>
                <w:szCs w:val="21"/>
              </w:rPr>
              <w:t>铅</w:t>
            </w:r>
          </w:p>
        </w:tc>
        <w:tc>
          <w:tcPr>
            <w:tcW w:w="4242"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Merge w:val="continue"/>
            <w:vAlign w:val="center"/>
          </w:tcPr>
          <w:p>
            <w:pPr>
              <w:snapToGrid w:val="0"/>
              <w:spacing w:line="440" w:lineRule="exact"/>
              <w:jc w:val="center"/>
              <w:rPr>
                <w:rFonts w:ascii="宋体"/>
                <w:color w:val="000000"/>
                <w:szCs w:val="21"/>
              </w:rPr>
            </w:pPr>
          </w:p>
        </w:tc>
        <w:tc>
          <w:tcPr>
            <w:tcW w:w="1346" w:type="dxa"/>
            <w:vMerge w:val="continue"/>
            <w:vAlign w:val="center"/>
          </w:tcPr>
          <w:p>
            <w:pPr>
              <w:widowControl/>
              <w:jc w:val="center"/>
              <w:textAlignment w:val="center"/>
              <w:rPr>
                <w:rFonts w:ascii="宋体"/>
                <w:szCs w:val="21"/>
              </w:rPr>
            </w:pPr>
          </w:p>
        </w:tc>
        <w:tc>
          <w:tcPr>
            <w:tcW w:w="2768" w:type="dxa"/>
            <w:vAlign w:val="center"/>
          </w:tcPr>
          <w:p>
            <w:pPr>
              <w:widowControl/>
              <w:jc w:val="center"/>
              <w:textAlignment w:val="center"/>
              <w:rPr>
                <w:rFonts w:ascii="宋体"/>
                <w:szCs w:val="21"/>
              </w:rPr>
            </w:pPr>
            <w:r>
              <w:rPr>
                <w:rFonts w:hint="eastAsia" w:ascii="宋体" w:hAnsi="宋体" w:cs="方正仿宋_GBK"/>
                <w:kern w:val="0"/>
                <w:szCs w:val="21"/>
              </w:rPr>
              <w:t>镉</w:t>
            </w:r>
          </w:p>
        </w:tc>
        <w:tc>
          <w:tcPr>
            <w:tcW w:w="4242"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Merge w:val="continue"/>
            <w:vAlign w:val="center"/>
          </w:tcPr>
          <w:p>
            <w:pPr>
              <w:snapToGrid w:val="0"/>
              <w:spacing w:line="440" w:lineRule="exact"/>
              <w:jc w:val="center"/>
              <w:rPr>
                <w:rFonts w:ascii="宋体"/>
                <w:color w:val="000000"/>
                <w:szCs w:val="21"/>
              </w:rPr>
            </w:pPr>
          </w:p>
        </w:tc>
        <w:tc>
          <w:tcPr>
            <w:tcW w:w="1346" w:type="dxa"/>
            <w:vMerge w:val="continue"/>
            <w:vAlign w:val="center"/>
          </w:tcPr>
          <w:p>
            <w:pPr>
              <w:widowControl/>
              <w:jc w:val="center"/>
              <w:textAlignment w:val="center"/>
              <w:rPr>
                <w:rFonts w:ascii="宋体"/>
                <w:szCs w:val="21"/>
              </w:rPr>
            </w:pPr>
          </w:p>
        </w:tc>
        <w:tc>
          <w:tcPr>
            <w:tcW w:w="2768" w:type="dxa"/>
            <w:vAlign w:val="center"/>
          </w:tcPr>
          <w:p>
            <w:pPr>
              <w:widowControl/>
              <w:jc w:val="center"/>
              <w:textAlignment w:val="center"/>
              <w:rPr>
                <w:rFonts w:ascii="宋体"/>
                <w:szCs w:val="21"/>
              </w:rPr>
            </w:pPr>
            <w:r>
              <w:rPr>
                <w:rFonts w:hint="eastAsia" w:ascii="宋体" w:hAnsi="宋体" w:cs="方正仿宋_GBK"/>
                <w:kern w:val="0"/>
                <w:szCs w:val="21"/>
              </w:rPr>
              <w:t>汞</w:t>
            </w:r>
          </w:p>
        </w:tc>
        <w:tc>
          <w:tcPr>
            <w:tcW w:w="4242"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Merge w:val="continue"/>
            <w:vAlign w:val="center"/>
          </w:tcPr>
          <w:p>
            <w:pPr>
              <w:snapToGrid w:val="0"/>
              <w:spacing w:line="440" w:lineRule="exact"/>
              <w:jc w:val="center"/>
              <w:rPr>
                <w:rFonts w:ascii="宋体"/>
                <w:color w:val="000000"/>
                <w:szCs w:val="21"/>
              </w:rPr>
            </w:pPr>
          </w:p>
        </w:tc>
        <w:tc>
          <w:tcPr>
            <w:tcW w:w="1346" w:type="dxa"/>
            <w:vMerge w:val="continue"/>
            <w:vAlign w:val="center"/>
          </w:tcPr>
          <w:p>
            <w:pPr>
              <w:widowControl/>
              <w:jc w:val="center"/>
              <w:textAlignment w:val="center"/>
              <w:rPr>
                <w:rFonts w:ascii="宋体"/>
                <w:szCs w:val="21"/>
              </w:rPr>
            </w:pPr>
          </w:p>
        </w:tc>
        <w:tc>
          <w:tcPr>
            <w:tcW w:w="2768" w:type="dxa"/>
            <w:vAlign w:val="center"/>
          </w:tcPr>
          <w:p>
            <w:pPr>
              <w:widowControl/>
              <w:jc w:val="center"/>
              <w:textAlignment w:val="center"/>
              <w:rPr>
                <w:rFonts w:ascii="宋体"/>
                <w:szCs w:val="21"/>
              </w:rPr>
            </w:pPr>
            <w:r>
              <w:rPr>
                <w:rFonts w:hint="eastAsia" w:ascii="宋体" w:hAnsi="宋体" w:cs="方正仿宋_GBK"/>
                <w:kern w:val="0"/>
                <w:szCs w:val="21"/>
              </w:rPr>
              <w:t>铬</w:t>
            </w:r>
          </w:p>
        </w:tc>
        <w:tc>
          <w:tcPr>
            <w:tcW w:w="4242"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Merge w:val="continue"/>
            <w:vAlign w:val="center"/>
          </w:tcPr>
          <w:p>
            <w:pPr>
              <w:snapToGrid w:val="0"/>
              <w:spacing w:line="440" w:lineRule="exact"/>
              <w:jc w:val="center"/>
              <w:rPr>
                <w:rFonts w:ascii="宋体"/>
                <w:color w:val="000000"/>
                <w:szCs w:val="21"/>
              </w:rPr>
            </w:pPr>
          </w:p>
        </w:tc>
        <w:tc>
          <w:tcPr>
            <w:tcW w:w="1346" w:type="dxa"/>
            <w:vMerge w:val="continue"/>
            <w:vAlign w:val="center"/>
          </w:tcPr>
          <w:p>
            <w:pPr>
              <w:widowControl/>
              <w:jc w:val="center"/>
              <w:textAlignment w:val="center"/>
              <w:rPr>
                <w:rFonts w:ascii="宋体"/>
                <w:szCs w:val="21"/>
              </w:rPr>
            </w:pPr>
          </w:p>
        </w:tc>
        <w:tc>
          <w:tcPr>
            <w:tcW w:w="2768" w:type="dxa"/>
            <w:vAlign w:val="center"/>
          </w:tcPr>
          <w:p>
            <w:pPr>
              <w:widowControl/>
              <w:jc w:val="center"/>
              <w:textAlignment w:val="center"/>
              <w:rPr>
                <w:rFonts w:ascii="宋体"/>
                <w:szCs w:val="21"/>
              </w:rPr>
            </w:pPr>
            <w:r>
              <w:rPr>
                <w:rFonts w:hint="eastAsia" w:ascii="宋体" w:hAnsi="宋体" w:cs="方正仿宋_GBK"/>
                <w:kern w:val="0"/>
                <w:szCs w:val="21"/>
              </w:rPr>
              <w:t>硒</w:t>
            </w:r>
          </w:p>
        </w:tc>
        <w:tc>
          <w:tcPr>
            <w:tcW w:w="4242"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Merge w:val="continue"/>
            <w:vAlign w:val="center"/>
          </w:tcPr>
          <w:p>
            <w:pPr>
              <w:snapToGrid w:val="0"/>
              <w:spacing w:line="440" w:lineRule="exact"/>
              <w:jc w:val="center"/>
              <w:rPr>
                <w:rFonts w:ascii="宋体"/>
                <w:color w:val="000000"/>
                <w:szCs w:val="21"/>
              </w:rPr>
            </w:pPr>
          </w:p>
        </w:tc>
        <w:tc>
          <w:tcPr>
            <w:tcW w:w="1346" w:type="dxa"/>
            <w:vMerge w:val="continue"/>
            <w:vAlign w:val="center"/>
          </w:tcPr>
          <w:p>
            <w:pPr>
              <w:widowControl/>
              <w:jc w:val="center"/>
              <w:textAlignment w:val="center"/>
              <w:rPr>
                <w:rFonts w:ascii="宋体"/>
                <w:szCs w:val="21"/>
              </w:rPr>
            </w:pPr>
          </w:p>
        </w:tc>
        <w:tc>
          <w:tcPr>
            <w:tcW w:w="2768" w:type="dxa"/>
            <w:vAlign w:val="center"/>
          </w:tcPr>
          <w:p>
            <w:pPr>
              <w:widowControl/>
              <w:jc w:val="center"/>
              <w:textAlignment w:val="center"/>
              <w:rPr>
                <w:rFonts w:ascii="宋体"/>
                <w:szCs w:val="21"/>
              </w:rPr>
            </w:pPr>
            <w:r>
              <w:rPr>
                <w:rFonts w:hint="eastAsia" w:ascii="宋体" w:hAnsi="宋体" w:cs="方正仿宋_GBK"/>
                <w:kern w:val="0"/>
                <w:szCs w:val="21"/>
              </w:rPr>
              <w:t>砷</w:t>
            </w:r>
          </w:p>
        </w:tc>
        <w:tc>
          <w:tcPr>
            <w:tcW w:w="4242"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Merge w:val="continue"/>
            <w:vAlign w:val="center"/>
          </w:tcPr>
          <w:p>
            <w:pPr>
              <w:snapToGrid w:val="0"/>
              <w:spacing w:line="440" w:lineRule="exact"/>
              <w:jc w:val="center"/>
              <w:rPr>
                <w:rFonts w:ascii="宋体"/>
                <w:color w:val="000000"/>
                <w:szCs w:val="21"/>
              </w:rPr>
            </w:pPr>
          </w:p>
        </w:tc>
        <w:tc>
          <w:tcPr>
            <w:tcW w:w="1346" w:type="dxa"/>
            <w:vMerge w:val="continue"/>
            <w:vAlign w:val="center"/>
          </w:tcPr>
          <w:p>
            <w:pPr>
              <w:widowControl/>
              <w:jc w:val="center"/>
              <w:textAlignment w:val="center"/>
              <w:rPr>
                <w:rFonts w:ascii="宋体"/>
                <w:szCs w:val="21"/>
              </w:rPr>
            </w:pPr>
          </w:p>
        </w:tc>
        <w:tc>
          <w:tcPr>
            <w:tcW w:w="2768" w:type="dxa"/>
            <w:vAlign w:val="center"/>
          </w:tcPr>
          <w:p>
            <w:pPr>
              <w:widowControl/>
              <w:jc w:val="center"/>
              <w:textAlignment w:val="center"/>
              <w:rPr>
                <w:rFonts w:ascii="宋体"/>
                <w:szCs w:val="21"/>
              </w:rPr>
            </w:pPr>
            <w:r>
              <w:rPr>
                <w:rFonts w:hint="eastAsia" w:ascii="宋体" w:hAnsi="宋体" w:cs="方正仿宋_GBK"/>
                <w:kern w:val="0"/>
                <w:szCs w:val="21"/>
              </w:rPr>
              <w:t>钡</w:t>
            </w:r>
          </w:p>
        </w:tc>
        <w:tc>
          <w:tcPr>
            <w:tcW w:w="4242"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Merge w:val="continue"/>
            <w:vAlign w:val="center"/>
          </w:tcPr>
          <w:p>
            <w:pPr>
              <w:snapToGrid w:val="0"/>
              <w:spacing w:line="440" w:lineRule="exact"/>
              <w:jc w:val="center"/>
              <w:rPr>
                <w:rFonts w:ascii="宋体"/>
                <w:color w:val="000000"/>
                <w:szCs w:val="21"/>
              </w:rPr>
            </w:pPr>
          </w:p>
        </w:tc>
        <w:tc>
          <w:tcPr>
            <w:tcW w:w="1346" w:type="dxa"/>
            <w:vMerge w:val="continue"/>
            <w:vAlign w:val="center"/>
          </w:tcPr>
          <w:p>
            <w:pPr>
              <w:widowControl/>
              <w:jc w:val="center"/>
              <w:textAlignment w:val="center"/>
              <w:rPr>
                <w:rFonts w:ascii="宋体"/>
                <w:szCs w:val="21"/>
              </w:rPr>
            </w:pPr>
          </w:p>
        </w:tc>
        <w:tc>
          <w:tcPr>
            <w:tcW w:w="2768" w:type="dxa"/>
            <w:vAlign w:val="center"/>
          </w:tcPr>
          <w:p>
            <w:pPr>
              <w:widowControl/>
              <w:jc w:val="center"/>
              <w:textAlignment w:val="center"/>
              <w:rPr>
                <w:rFonts w:ascii="宋体"/>
                <w:szCs w:val="21"/>
              </w:rPr>
            </w:pPr>
            <w:r>
              <w:rPr>
                <w:rFonts w:hint="eastAsia" w:ascii="宋体" w:hAnsi="宋体" w:cs="方正仿宋_GBK"/>
                <w:kern w:val="0"/>
                <w:szCs w:val="21"/>
              </w:rPr>
              <w:t>锑</w:t>
            </w:r>
          </w:p>
        </w:tc>
        <w:tc>
          <w:tcPr>
            <w:tcW w:w="4242"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817"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2</w:t>
            </w:r>
          </w:p>
        </w:tc>
        <w:tc>
          <w:tcPr>
            <w:tcW w:w="4114" w:type="dxa"/>
            <w:gridSpan w:val="2"/>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游离甲醛限量</w:t>
            </w:r>
          </w:p>
        </w:tc>
        <w:tc>
          <w:tcPr>
            <w:tcW w:w="4242" w:type="dxa"/>
            <w:vAlign w:val="center"/>
          </w:tcPr>
          <w:p>
            <w:pPr>
              <w:snapToGrid w:val="0"/>
              <w:jc w:val="center"/>
              <w:rPr>
                <w:rFonts w:hint="default" w:ascii="宋体" w:hAnsi="宋体" w:eastAsia="宋体"/>
                <w:color w:val="000000"/>
                <w:szCs w:val="21"/>
                <w:lang w:val="en-US" w:eastAsia="zh-CN"/>
              </w:rPr>
            </w:pPr>
            <w:r>
              <w:rPr>
                <w:rFonts w:ascii="宋体" w:hAnsi="宋体"/>
                <w:color w:val="000000"/>
                <w:szCs w:val="21"/>
              </w:rPr>
              <w:t>GB</w:t>
            </w:r>
            <w:r>
              <w:rPr>
                <w:rFonts w:hint="eastAsia" w:ascii="宋体" w:hAnsi="宋体"/>
                <w:color w:val="000000"/>
                <w:szCs w:val="21"/>
                <w:lang w:val="en-US" w:eastAsia="zh-CN"/>
              </w:rPr>
              <w:t>/T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3</w:t>
            </w:r>
          </w:p>
        </w:tc>
        <w:tc>
          <w:tcPr>
            <w:tcW w:w="4114" w:type="dxa"/>
            <w:gridSpan w:val="2"/>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外观</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QB/T 2960-2008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4</w:t>
            </w:r>
          </w:p>
        </w:tc>
        <w:tc>
          <w:tcPr>
            <w:tcW w:w="4114" w:type="dxa"/>
            <w:gridSpan w:val="2"/>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开裂性</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QB/T 2960-2008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5</w:t>
            </w:r>
          </w:p>
        </w:tc>
        <w:tc>
          <w:tcPr>
            <w:tcW w:w="4114" w:type="dxa"/>
            <w:gridSpan w:val="2"/>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可塑性</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QB/T 2960-2008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6</w:t>
            </w:r>
          </w:p>
        </w:tc>
        <w:tc>
          <w:tcPr>
            <w:tcW w:w="4114" w:type="dxa"/>
            <w:gridSpan w:val="2"/>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密度</w:t>
            </w:r>
          </w:p>
        </w:tc>
        <w:tc>
          <w:tcPr>
            <w:tcW w:w="4242" w:type="dxa"/>
            <w:vAlign w:val="center"/>
          </w:tcPr>
          <w:p>
            <w:pPr>
              <w:snapToGrid w:val="0"/>
              <w:jc w:val="center"/>
              <w:rPr>
                <w:rFonts w:hint="default" w:ascii="宋体" w:hAnsi="宋体"/>
                <w:color w:val="000000"/>
                <w:szCs w:val="21"/>
                <w:lang w:val="en-US" w:eastAsia="zh-CN"/>
              </w:rPr>
            </w:pPr>
            <w:r>
              <w:rPr>
                <w:rFonts w:ascii="宋体" w:hAnsi="宋体"/>
                <w:color w:val="000000"/>
                <w:szCs w:val="21"/>
              </w:rPr>
              <w:t>GB</w:t>
            </w:r>
            <w:r>
              <w:rPr>
                <w:rFonts w:hint="eastAsia" w:ascii="宋体" w:hAnsi="宋体"/>
                <w:color w:val="000000"/>
                <w:szCs w:val="21"/>
                <w:lang w:val="en-US" w:eastAsia="zh-CN"/>
              </w:rPr>
              <w:t>/T 4472-1984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7</w:t>
            </w:r>
          </w:p>
        </w:tc>
        <w:tc>
          <w:tcPr>
            <w:tcW w:w="4114" w:type="dxa"/>
            <w:gridSpan w:val="2"/>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耐温性</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QB/T 2960-2008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8</w:t>
            </w:r>
          </w:p>
        </w:tc>
        <w:tc>
          <w:tcPr>
            <w:tcW w:w="4114" w:type="dxa"/>
            <w:gridSpan w:val="2"/>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耐寒性</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QB/T 2960-2008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1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9</w:t>
            </w:r>
          </w:p>
        </w:tc>
        <w:tc>
          <w:tcPr>
            <w:tcW w:w="4114" w:type="dxa"/>
            <w:gridSpan w:val="2"/>
            <w:vAlign w:val="center"/>
          </w:tcPr>
          <w:p>
            <w:pPr>
              <w:bidi w:val="0"/>
              <w:jc w:val="center"/>
              <w:rPr>
                <w:rFonts w:hint="eastAsia" w:ascii="宋体" w:hAnsi="宋体"/>
                <w:color w:val="000000"/>
                <w:szCs w:val="21"/>
                <w:lang w:val="en-US" w:eastAsia="zh-CN"/>
              </w:rPr>
            </w:pPr>
            <w:r>
              <w:rPr>
                <w:rFonts w:hint="eastAsia"/>
                <w:sz w:val="21"/>
                <w:szCs w:val="21"/>
                <w:highlight w:val="none"/>
                <w:lang w:val="en-US" w:eastAsia="zh-CN"/>
              </w:rPr>
              <w:t>包装密封性</w:t>
            </w:r>
          </w:p>
        </w:tc>
        <w:tc>
          <w:tcPr>
            <w:tcW w:w="4242" w:type="dxa"/>
            <w:vAlign w:val="center"/>
          </w:tcPr>
          <w:p>
            <w:pPr>
              <w:snapToGrid w:val="0"/>
              <w:jc w:val="center"/>
              <w:rPr>
                <w:rFonts w:hint="eastAsia" w:ascii="宋体" w:hAnsi="宋体"/>
                <w:color w:val="000000"/>
                <w:szCs w:val="21"/>
                <w:lang w:val="en-US" w:eastAsia="zh-CN"/>
              </w:rPr>
            </w:pPr>
            <w:r>
              <w:rPr>
                <w:rFonts w:hint="eastAsia" w:ascii="宋体" w:hAnsi="宋体"/>
                <w:color w:val="000000"/>
                <w:szCs w:val="21"/>
                <w:lang w:val="en-US" w:eastAsia="zh-CN"/>
              </w:rPr>
              <w:t>QB/T 2960-2008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173" w:type="dxa"/>
            <w:gridSpan w:val="4"/>
            <w:vAlign w:val="center"/>
          </w:tcPr>
          <w:p>
            <w:pPr>
              <w:snapToGrid w:val="0"/>
              <w:jc w:val="left"/>
              <w:rPr>
                <w:rFonts w:hint="default" w:ascii="宋体" w:hAnsi="宋体"/>
                <w:color w:val="000000"/>
                <w:szCs w:val="21"/>
                <w:lang w:val="en-US" w:eastAsia="zh-CN"/>
              </w:rPr>
            </w:pPr>
            <w:r>
              <w:rPr>
                <w:rFonts w:hint="eastAsia" w:ascii="宋体" w:hAnsi="宋体"/>
                <w:color w:val="000000"/>
                <w:szCs w:val="21"/>
                <w:lang w:val="en-US" w:eastAsia="zh-CN"/>
              </w:rPr>
              <w:t>注：抽样环节若无法确认产品是否是</w:t>
            </w:r>
            <w:r>
              <w:rPr>
                <w:rFonts w:hint="eastAsia"/>
                <w:lang w:val="en-US" w:eastAsia="zh-CN"/>
              </w:rPr>
              <w:t>水基型彩泥或非水基型彩泥，则项目7、9不安排测试。</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tabs>
          <w:tab w:val="left" w:pos="6300"/>
        </w:tabs>
        <w:kinsoku/>
        <w:wordWrap/>
        <w:overflowPunct/>
        <w:topLinePunct w:val="0"/>
        <w:autoSpaceDE/>
        <w:autoSpaceDN/>
        <w:bidi w:val="0"/>
        <w:adjustRightInd/>
        <w:snapToGrid w:val="0"/>
        <w:spacing w:line="440" w:lineRule="exact"/>
        <w:ind w:firstLine="420" w:firstLineChars="200"/>
        <w:textAlignment w:val="auto"/>
        <w:rPr>
          <w:rFonts w:hint="eastAsia"/>
          <w:color w:val="000000"/>
          <w:szCs w:val="21"/>
          <w:lang w:val="en-US" w:eastAsia="zh-CN"/>
        </w:rPr>
      </w:pPr>
      <w:r>
        <w:rPr>
          <w:rFonts w:hint="eastAsia"/>
          <w:color w:val="000000"/>
          <w:szCs w:val="21"/>
          <w:lang w:val="en-US" w:eastAsia="zh-CN"/>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color w:val="000000"/>
          <w:szCs w:val="21"/>
          <w:lang w:val="en-US" w:eastAsia="zh-CN"/>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rFonts w:hint="eastAsia"/>
          <w:szCs w:val="21"/>
        </w:rPr>
      </w:pPr>
      <w:r>
        <w:rPr>
          <w:rFonts w:ascii="宋体" w:hAnsi="宋体"/>
          <w:color w:val="000000"/>
          <w:szCs w:val="21"/>
        </w:rPr>
        <w:t>GB 21027-20</w:t>
      </w:r>
      <w:r>
        <w:rPr>
          <w:rFonts w:hint="eastAsia" w:ascii="宋体" w:hAnsi="宋体"/>
          <w:color w:val="000000"/>
          <w:szCs w:val="21"/>
          <w:lang w:val="en-US" w:eastAsia="zh-CN"/>
        </w:rPr>
        <w:t>20</w:t>
      </w:r>
      <w:r>
        <w:rPr>
          <w:rFonts w:ascii="宋体" w:hAnsi="宋体"/>
          <w:color w:val="000000"/>
          <w:szCs w:val="21"/>
        </w:rPr>
        <w:t xml:space="preserve"> </w:t>
      </w:r>
      <w:r>
        <w:rPr>
          <w:rFonts w:hint="eastAsia"/>
          <w:szCs w:val="21"/>
        </w:rPr>
        <w:t>学生用品的安全通用要求</w:t>
      </w:r>
    </w:p>
    <w:p>
      <w:pPr>
        <w:snapToGrid w:val="0"/>
        <w:spacing w:line="440" w:lineRule="exact"/>
        <w:ind w:firstLine="420" w:firstLineChars="200"/>
        <w:rPr>
          <w:rFonts w:hint="eastAsia" w:ascii="宋体" w:hAnsi="宋体"/>
          <w:szCs w:val="21"/>
          <w:lang w:eastAsia="zh-CN"/>
        </w:rPr>
      </w:pPr>
      <w:r>
        <w:rPr>
          <w:rFonts w:hint="eastAsia" w:ascii="宋体" w:hAnsi="宋体"/>
          <w:color w:val="000000"/>
          <w:szCs w:val="21"/>
        </w:rPr>
        <w:t>QB/T 2960-2008</w:t>
      </w:r>
      <w:r>
        <w:rPr>
          <w:rFonts w:ascii="宋体" w:hAnsi="宋体"/>
          <w:szCs w:val="21"/>
        </w:rPr>
        <w:t xml:space="preserve">  </w:t>
      </w:r>
      <w:r>
        <w:rPr>
          <w:rFonts w:hint="eastAsia" w:ascii="宋体" w:hAnsi="宋体"/>
          <w:szCs w:val="21"/>
          <w:lang w:eastAsia="zh-CN"/>
        </w:rPr>
        <w:t>彩泥</w:t>
      </w:r>
    </w:p>
    <w:p>
      <w:pPr>
        <w:snapToGrid w:val="0"/>
        <w:spacing w:line="440" w:lineRule="exact"/>
        <w:ind w:firstLine="420" w:firstLineChars="200"/>
        <w:rPr>
          <w:rFonts w:hint="default" w:eastAsia="宋体"/>
          <w:highlight w:val="none"/>
          <w:lang w:val="en-US" w:eastAsia="zh-CN"/>
        </w:rPr>
      </w:pPr>
      <w:r>
        <w:rPr>
          <w:rFonts w:ascii="宋体" w:hAnsi="宋体"/>
          <w:color w:val="000000"/>
          <w:szCs w:val="21"/>
          <w:highlight w:val="none"/>
        </w:rPr>
        <w:t xml:space="preserve">GB </w:t>
      </w:r>
      <w:r>
        <w:rPr>
          <w:rFonts w:hint="eastAsia" w:ascii="宋体" w:hAnsi="宋体"/>
          <w:color w:val="000000"/>
          <w:szCs w:val="21"/>
          <w:highlight w:val="none"/>
          <w:lang w:val="en-US" w:eastAsia="zh-CN"/>
        </w:rPr>
        <w:t>6675.4</w:t>
      </w:r>
      <w:r>
        <w:rPr>
          <w:rFonts w:ascii="宋体" w:hAnsi="宋体"/>
          <w:color w:val="000000"/>
          <w:szCs w:val="21"/>
          <w:highlight w:val="none"/>
        </w:rPr>
        <w:t>-20</w:t>
      </w:r>
      <w:r>
        <w:rPr>
          <w:rFonts w:hint="eastAsia" w:ascii="宋体" w:hAnsi="宋体"/>
          <w:color w:val="000000"/>
          <w:szCs w:val="21"/>
          <w:highlight w:val="none"/>
          <w:lang w:val="en-US" w:eastAsia="zh-CN"/>
        </w:rPr>
        <w:t>14</w:t>
      </w:r>
      <w:r>
        <w:rPr>
          <w:rFonts w:ascii="宋体" w:hAnsi="宋体"/>
          <w:color w:val="000000"/>
          <w:szCs w:val="21"/>
          <w:highlight w:val="none"/>
        </w:rPr>
        <w:t xml:space="preserve"> </w:t>
      </w:r>
      <w:r>
        <w:rPr>
          <w:rFonts w:hint="eastAsia" w:ascii="宋体" w:hAnsi="宋体"/>
          <w:color w:val="000000"/>
          <w:szCs w:val="21"/>
          <w:highlight w:val="none"/>
          <w:lang w:val="en-US" w:eastAsia="zh-CN"/>
        </w:rPr>
        <w:t xml:space="preserve"> 玩具安全 第4部分：特定元素的迁移</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ascii="宋体" w:hAnsi="宋体"/>
          <w:color w:val="000000"/>
          <w:szCs w:val="21"/>
        </w:rPr>
        <w:t>3.2</w:t>
      </w:r>
      <w:r>
        <w:rPr>
          <w:rFonts w:hint="eastAsia" w:ascii="宋体" w:hAnsi="宋体"/>
          <w:color w:val="000000"/>
          <w:szCs w:val="21"/>
        </w:rPr>
        <w:t>判定原则</w:t>
      </w:r>
    </w:p>
    <w:p>
      <w:pPr>
        <w:snapToGrid w:val="0"/>
        <w:spacing w:line="440" w:lineRule="exact"/>
        <w:rPr>
          <w:rFonts w:hint="eastAsia" w:ascii="宋体" w:hAnsi="宋体"/>
          <w:color w:val="000000"/>
          <w:szCs w:val="21"/>
          <w:highlight w:val="yellow"/>
          <w:lang w:val="en-US" w:eastAsia="zh-CN"/>
        </w:rPr>
      </w:pPr>
      <w:r>
        <w:rPr>
          <w:rFonts w:hint="eastAsia" w:ascii="宋体" w:hAnsi="宋体"/>
          <w:color w:val="000000"/>
          <w:szCs w:val="21"/>
          <w:lang w:val="en-US" w:eastAsia="zh-CN"/>
        </w:rPr>
        <w:t>3.2.1 单项判定</w:t>
      </w:r>
    </w:p>
    <w:p>
      <w:pPr>
        <w:snapToGrid w:val="0"/>
        <w:spacing w:line="440" w:lineRule="exact"/>
        <w:ind w:firstLine="420" w:firstLineChars="200"/>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可迁移元素项目中任意一种元素不符合标准要求时，判定该项不合格。</w:t>
      </w:r>
    </w:p>
    <w:p>
      <w:pPr>
        <w:snapToGrid w:val="0"/>
        <w:spacing w:line="440" w:lineRule="exact"/>
        <w:ind w:firstLine="420" w:firstLineChars="200"/>
        <w:rPr>
          <w:rFonts w:hint="default" w:ascii="宋体" w:hAnsi="宋体" w:eastAsia="宋体" w:cs="宋体"/>
          <w:sz w:val="21"/>
          <w:szCs w:val="21"/>
          <w:highlight w:val="none"/>
          <w:lang w:val="en-US" w:eastAsia="zh-CN"/>
        </w:rPr>
      </w:pPr>
      <w:r>
        <w:rPr>
          <w:rFonts w:hint="eastAsia" w:ascii="宋体" w:hAnsi="宋体" w:cs="宋体"/>
          <w:color w:val="auto"/>
          <w:sz w:val="21"/>
          <w:szCs w:val="21"/>
          <w:highlight w:val="none"/>
          <w:lang w:val="en-US" w:eastAsia="zh-CN"/>
        </w:rPr>
        <w:t>有颜色划分的，任意一种颜色产品可迁移元素项目出现不合格，判定该产品不合格。</w:t>
      </w:r>
    </w:p>
    <w:p>
      <w:pPr>
        <w:snapToGrid w:val="0"/>
        <w:spacing w:line="440" w:lineRule="exact"/>
        <w:rPr>
          <w:rFonts w:hint="eastAsia" w:ascii="宋体" w:hAnsi="宋体"/>
          <w:color w:val="000000"/>
          <w:szCs w:val="21"/>
        </w:rPr>
      </w:pPr>
      <w:r>
        <w:rPr>
          <w:rFonts w:hint="eastAsia" w:ascii="宋体" w:hAnsi="宋体"/>
          <w:color w:val="000000"/>
          <w:szCs w:val="21"/>
          <w:lang w:val="en-US" w:eastAsia="zh-CN"/>
        </w:rPr>
        <w:t>3.2.2 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ascii="宋体"/>
          <w:color w:val="00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c0ZTgwYzc2MWZiYWQ3NjlmNTQ5NGE2OTBjNzMifQ=="/>
  </w:docVars>
  <w:rsids>
    <w:rsidRoot w:val="004E1C1B"/>
    <w:rsid w:val="00017598"/>
    <w:rsid w:val="00070677"/>
    <w:rsid w:val="00071BFB"/>
    <w:rsid w:val="000816CA"/>
    <w:rsid w:val="000A6B06"/>
    <w:rsid w:val="000F47BD"/>
    <w:rsid w:val="00110089"/>
    <w:rsid w:val="00126693"/>
    <w:rsid w:val="00142815"/>
    <w:rsid w:val="002122B4"/>
    <w:rsid w:val="002651E6"/>
    <w:rsid w:val="0027234F"/>
    <w:rsid w:val="00272CA1"/>
    <w:rsid w:val="00276BA0"/>
    <w:rsid w:val="00277D59"/>
    <w:rsid w:val="00292F7F"/>
    <w:rsid w:val="002A21E1"/>
    <w:rsid w:val="002C4216"/>
    <w:rsid w:val="00302B95"/>
    <w:rsid w:val="00344EF9"/>
    <w:rsid w:val="00360E00"/>
    <w:rsid w:val="003808FF"/>
    <w:rsid w:val="00386676"/>
    <w:rsid w:val="003C51F6"/>
    <w:rsid w:val="003F4F40"/>
    <w:rsid w:val="004078C1"/>
    <w:rsid w:val="00444792"/>
    <w:rsid w:val="00473779"/>
    <w:rsid w:val="004A6040"/>
    <w:rsid w:val="004A6875"/>
    <w:rsid w:val="004B72EC"/>
    <w:rsid w:val="004C13EF"/>
    <w:rsid w:val="004E1C1B"/>
    <w:rsid w:val="0050332A"/>
    <w:rsid w:val="00510039"/>
    <w:rsid w:val="005234DA"/>
    <w:rsid w:val="00556685"/>
    <w:rsid w:val="005A790A"/>
    <w:rsid w:val="005B3386"/>
    <w:rsid w:val="00605616"/>
    <w:rsid w:val="00622E51"/>
    <w:rsid w:val="00623104"/>
    <w:rsid w:val="0063289E"/>
    <w:rsid w:val="00636743"/>
    <w:rsid w:val="00644936"/>
    <w:rsid w:val="00653E83"/>
    <w:rsid w:val="0066117E"/>
    <w:rsid w:val="00681809"/>
    <w:rsid w:val="00684A78"/>
    <w:rsid w:val="00684E16"/>
    <w:rsid w:val="006D52B2"/>
    <w:rsid w:val="006E7112"/>
    <w:rsid w:val="006F11F0"/>
    <w:rsid w:val="006F3C2F"/>
    <w:rsid w:val="00701745"/>
    <w:rsid w:val="00707B57"/>
    <w:rsid w:val="00712144"/>
    <w:rsid w:val="00721F6B"/>
    <w:rsid w:val="007349BB"/>
    <w:rsid w:val="007652FF"/>
    <w:rsid w:val="00787874"/>
    <w:rsid w:val="007B2CB6"/>
    <w:rsid w:val="007E2FC8"/>
    <w:rsid w:val="00813A0F"/>
    <w:rsid w:val="00871623"/>
    <w:rsid w:val="008A4E3C"/>
    <w:rsid w:val="008E6FAA"/>
    <w:rsid w:val="00916257"/>
    <w:rsid w:val="009354D0"/>
    <w:rsid w:val="009B04C1"/>
    <w:rsid w:val="009B783F"/>
    <w:rsid w:val="009E131F"/>
    <w:rsid w:val="009E628B"/>
    <w:rsid w:val="00A26D28"/>
    <w:rsid w:val="00A30649"/>
    <w:rsid w:val="00A409F0"/>
    <w:rsid w:val="00A775F3"/>
    <w:rsid w:val="00A871CD"/>
    <w:rsid w:val="00A87EB1"/>
    <w:rsid w:val="00A94967"/>
    <w:rsid w:val="00A957C3"/>
    <w:rsid w:val="00AB5EEF"/>
    <w:rsid w:val="00AF7D1B"/>
    <w:rsid w:val="00B01F8D"/>
    <w:rsid w:val="00B0597E"/>
    <w:rsid w:val="00B43A71"/>
    <w:rsid w:val="00B61E92"/>
    <w:rsid w:val="00B918EF"/>
    <w:rsid w:val="00BC5D4A"/>
    <w:rsid w:val="00BD6C92"/>
    <w:rsid w:val="00BE42E1"/>
    <w:rsid w:val="00BF071F"/>
    <w:rsid w:val="00BF7E2E"/>
    <w:rsid w:val="00C436D6"/>
    <w:rsid w:val="00CA0160"/>
    <w:rsid w:val="00CC476F"/>
    <w:rsid w:val="00CC5CD5"/>
    <w:rsid w:val="00CE4EBA"/>
    <w:rsid w:val="00D2319E"/>
    <w:rsid w:val="00D6128B"/>
    <w:rsid w:val="00D63CC7"/>
    <w:rsid w:val="00DA0F15"/>
    <w:rsid w:val="00DD40C8"/>
    <w:rsid w:val="00DD5955"/>
    <w:rsid w:val="00E21673"/>
    <w:rsid w:val="00E371D6"/>
    <w:rsid w:val="00E766A1"/>
    <w:rsid w:val="00E96D0A"/>
    <w:rsid w:val="00EB1677"/>
    <w:rsid w:val="00EE7D38"/>
    <w:rsid w:val="00EF5E2D"/>
    <w:rsid w:val="00F02B1B"/>
    <w:rsid w:val="00F32133"/>
    <w:rsid w:val="00F36EF4"/>
    <w:rsid w:val="00F6285D"/>
    <w:rsid w:val="00F762D5"/>
    <w:rsid w:val="00F76D14"/>
    <w:rsid w:val="00FA10D3"/>
    <w:rsid w:val="00FB7415"/>
    <w:rsid w:val="00FC7AB5"/>
    <w:rsid w:val="00FF44CB"/>
    <w:rsid w:val="012320B0"/>
    <w:rsid w:val="0192730A"/>
    <w:rsid w:val="03693EDE"/>
    <w:rsid w:val="03BA154F"/>
    <w:rsid w:val="08F679A1"/>
    <w:rsid w:val="091F1356"/>
    <w:rsid w:val="09B0436D"/>
    <w:rsid w:val="0D1D3C5E"/>
    <w:rsid w:val="0D6231F0"/>
    <w:rsid w:val="0FB6659D"/>
    <w:rsid w:val="100D0AA3"/>
    <w:rsid w:val="10775E30"/>
    <w:rsid w:val="13C37E00"/>
    <w:rsid w:val="143D3F57"/>
    <w:rsid w:val="15F4519C"/>
    <w:rsid w:val="1A455AB3"/>
    <w:rsid w:val="1B757AD0"/>
    <w:rsid w:val="1E4642BA"/>
    <w:rsid w:val="1E6E5E24"/>
    <w:rsid w:val="1EC55FA8"/>
    <w:rsid w:val="223B0321"/>
    <w:rsid w:val="22B12784"/>
    <w:rsid w:val="25022B2D"/>
    <w:rsid w:val="268B10FC"/>
    <w:rsid w:val="2866761B"/>
    <w:rsid w:val="29D521FA"/>
    <w:rsid w:val="2A15680F"/>
    <w:rsid w:val="2B2A2982"/>
    <w:rsid w:val="2B8B6FCA"/>
    <w:rsid w:val="2C11454E"/>
    <w:rsid w:val="2C9C4393"/>
    <w:rsid w:val="2D2D2E8B"/>
    <w:rsid w:val="30181DF2"/>
    <w:rsid w:val="33BF442F"/>
    <w:rsid w:val="34122305"/>
    <w:rsid w:val="35636C10"/>
    <w:rsid w:val="35C95ACC"/>
    <w:rsid w:val="36795BC7"/>
    <w:rsid w:val="381952A0"/>
    <w:rsid w:val="395D1036"/>
    <w:rsid w:val="3BC14F21"/>
    <w:rsid w:val="4101661E"/>
    <w:rsid w:val="41456CCC"/>
    <w:rsid w:val="46925519"/>
    <w:rsid w:val="4BCA5AB6"/>
    <w:rsid w:val="4C0402CC"/>
    <w:rsid w:val="4D3E448F"/>
    <w:rsid w:val="4E05571D"/>
    <w:rsid w:val="4E216784"/>
    <w:rsid w:val="4EFB7A24"/>
    <w:rsid w:val="50624B47"/>
    <w:rsid w:val="51132EC4"/>
    <w:rsid w:val="513462F8"/>
    <w:rsid w:val="519D55C2"/>
    <w:rsid w:val="51B82493"/>
    <w:rsid w:val="53455F42"/>
    <w:rsid w:val="58536A44"/>
    <w:rsid w:val="58615A54"/>
    <w:rsid w:val="65A96E50"/>
    <w:rsid w:val="6720306E"/>
    <w:rsid w:val="675E3C1D"/>
    <w:rsid w:val="68452518"/>
    <w:rsid w:val="68AA4E85"/>
    <w:rsid w:val="69F02D2F"/>
    <w:rsid w:val="6B08548D"/>
    <w:rsid w:val="6F496AA2"/>
    <w:rsid w:val="6F854BEC"/>
    <w:rsid w:val="707B40FB"/>
    <w:rsid w:val="70C52C54"/>
    <w:rsid w:val="72244B23"/>
    <w:rsid w:val="73925050"/>
    <w:rsid w:val="747A7CFD"/>
    <w:rsid w:val="75753D85"/>
    <w:rsid w:val="75760A94"/>
    <w:rsid w:val="76AC5347"/>
    <w:rsid w:val="76BC2088"/>
    <w:rsid w:val="77320271"/>
    <w:rsid w:val="77B2501E"/>
    <w:rsid w:val="7957240C"/>
    <w:rsid w:val="7E403049"/>
    <w:rsid w:val="7F7D45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afterLines="0" w:afterAutospacing="0" w:line="240" w:lineRule="auto"/>
      <w:ind w:left="420" w:leftChars="200" w:firstLine="420" w:firstLineChars="200"/>
    </w:pPr>
    <w:rPr>
      <w:sz w:val="21"/>
    </w:rPr>
  </w:style>
  <w:style w:type="paragraph" w:styleId="3">
    <w:name w:val="Body Text Indent"/>
    <w:basedOn w:val="1"/>
    <w:autoRedefine/>
    <w:qFormat/>
    <w:uiPriority w:val="0"/>
    <w:pPr>
      <w:spacing w:line="700" w:lineRule="exact"/>
      <w:ind w:left="960"/>
    </w:pPr>
    <w:rPr>
      <w:sz w:val="44"/>
    </w:rPr>
  </w:style>
  <w:style w:type="paragraph" w:styleId="4">
    <w:name w:val="Document Map"/>
    <w:basedOn w:val="1"/>
    <w:link w:val="11"/>
    <w:autoRedefine/>
    <w:semiHidden/>
    <w:qFormat/>
    <w:uiPriority w:val="99"/>
    <w:pPr>
      <w:shd w:val="clear" w:color="auto" w:fill="000080"/>
    </w:pPr>
  </w:style>
  <w:style w:type="paragraph" w:styleId="5">
    <w:name w:val="footer"/>
    <w:basedOn w:val="1"/>
    <w:link w:val="12"/>
    <w:autoRedefine/>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Calibri" w:hAnsi="Calibri"/>
      <w:sz w:val="18"/>
      <w:szCs w:val="18"/>
    </w:rPr>
  </w:style>
  <w:style w:type="table" w:styleId="8">
    <w:name w:val="Table Grid"/>
    <w:basedOn w:val="7"/>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autoRedefine/>
    <w:qFormat/>
    <w:uiPriority w:val="99"/>
    <w:rPr>
      <w:rFonts w:cs="Times New Roman"/>
    </w:rPr>
  </w:style>
  <w:style w:type="character" w:customStyle="1" w:styleId="11">
    <w:name w:val="文档结构图 字符"/>
    <w:link w:val="4"/>
    <w:autoRedefine/>
    <w:semiHidden/>
    <w:qFormat/>
    <w:locked/>
    <w:uiPriority w:val="99"/>
    <w:rPr>
      <w:rFonts w:ascii="Times New Roman" w:hAnsi="Times New Roman" w:cs="Times New Roman"/>
      <w:sz w:val="2"/>
    </w:rPr>
  </w:style>
  <w:style w:type="character" w:customStyle="1" w:styleId="12">
    <w:name w:val="页脚 字符"/>
    <w:link w:val="5"/>
    <w:autoRedefine/>
    <w:qFormat/>
    <w:locked/>
    <w:uiPriority w:val="99"/>
    <w:rPr>
      <w:rFonts w:cs="Times New Roman"/>
      <w:sz w:val="18"/>
      <w:szCs w:val="18"/>
    </w:rPr>
  </w:style>
  <w:style w:type="character" w:customStyle="1" w:styleId="13">
    <w:name w:val="页眉 字符"/>
    <w:link w:val="6"/>
    <w:autoRedefine/>
    <w:qFormat/>
    <w:locked/>
    <w:uiPriority w:val="99"/>
    <w:rPr>
      <w:rFonts w:cs="Times New Roman"/>
      <w:sz w:val="18"/>
      <w:szCs w:val="18"/>
    </w:rPr>
  </w:style>
  <w:style w:type="character" w:customStyle="1" w:styleId="14">
    <w:name w:val="页脚 Char1"/>
    <w:autoRedefine/>
    <w:semiHidden/>
    <w:qFormat/>
    <w:locked/>
    <w:uiPriority w:val="99"/>
    <w:rPr>
      <w:rFonts w:ascii="Times New Roman" w:hAnsi="Times New Roman" w:eastAsia="宋体" w:cs="Times New Roman"/>
      <w:sz w:val="18"/>
      <w:szCs w:val="18"/>
    </w:rPr>
  </w:style>
  <w:style w:type="character" w:customStyle="1" w:styleId="15">
    <w:name w:val="页眉 Char1"/>
    <w:autoRedefine/>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835</Words>
  <Characters>1060</Characters>
  <Lines>13</Lines>
  <Paragraphs>3</Paragraphs>
  <TotalTime>1</TotalTime>
  <ScaleCrop>false</ScaleCrop>
  <LinksUpToDate>false</LinksUpToDate>
  <CharactersWithSpaces>1091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2021-09-07T06:08:00Z</dcterms:created>
  <dc:creator>pc</dc:creator>
  <cp:lastModifiedBy>胡小东</cp:lastModifiedBy>
  <dcterms:modified xsi:type="dcterms:W3CDTF">2024-07-01T04:16:05Z</dcterms:modified>
  <dc:title>重庆市修正液产品质量监督抽查实施细则</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812A8A7955C14AD2884008CE29F64769_13</vt:lpwstr>
  </property>
</Properties>
</file>