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重庆市婴儿学步车产品质量监督抽查实施细则</w:t>
      </w:r>
    </w:p>
    <w:p>
      <w:pPr>
        <w:snapToGrid w:val="0"/>
        <w:spacing w:line="24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ind w:firstLine="359" w:firstLineChars="171"/>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szCs w:val="21"/>
        </w:rPr>
      </w:pPr>
      <w:r>
        <w:rPr>
          <w:rFonts w:hint="eastAsia" w:ascii="宋体" w:hAnsi="宋体"/>
          <w:color w:val="000000"/>
          <w:szCs w:val="21"/>
        </w:rPr>
        <w:t>每批次抽取样品</w:t>
      </w:r>
      <w:r>
        <w:rPr>
          <w:rFonts w:hint="eastAsia" w:ascii="宋体" w:hAnsi="宋体"/>
          <w:szCs w:val="21"/>
        </w:rPr>
        <w:t>2辆，其中1辆作为检验样品，1辆作为备用样品</w:t>
      </w:r>
      <w:r>
        <w:rPr>
          <w:rFonts w:hint="eastAsia"/>
        </w:rPr>
        <w:t>。</w:t>
      </w:r>
    </w:p>
    <w:p>
      <w:pPr>
        <w:snapToGrid w:val="0"/>
        <w:spacing w:line="440" w:lineRule="exact"/>
        <w:ind w:firstLine="420" w:firstLineChars="200"/>
        <w:rPr>
          <w:rFonts w:ascii="宋体" w:hAnsi="宋体"/>
          <w:color w:val="000000"/>
          <w:szCs w:val="21"/>
        </w:rPr>
      </w:pP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pPr>
        <w:snapToGrid w:val="0"/>
        <w:spacing w:line="440" w:lineRule="exact"/>
        <w:jc w:val="center"/>
        <w:rPr>
          <w:color w:val="000000"/>
          <w:szCs w:val="21"/>
        </w:rPr>
      </w:pPr>
      <w:r>
        <w:rPr>
          <w:rFonts w:hAnsi="宋体"/>
          <w:color w:val="000000"/>
          <w:szCs w:val="21"/>
        </w:rPr>
        <w:t>表</w:t>
      </w:r>
      <w:r>
        <w:rPr>
          <w:rFonts w:hint="eastAsia"/>
          <w:color w:val="000000"/>
          <w:szCs w:val="21"/>
        </w:rPr>
        <w:t xml:space="preserve">1 </w:t>
      </w:r>
      <w:r>
        <w:rPr>
          <w:rFonts w:hAnsi="宋体"/>
          <w:color w:val="000000"/>
          <w:szCs w:val="21"/>
        </w:rPr>
        <w:t>检验项目</w:t>
      </w: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
        <w:gridCol w:w="4124"/>
        <w:gridCol w:w="4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rFonts w:hAnsi="宋体"/>
                <w:color w:val="000000"/>
                <w:szCs w:val="21"/>
              </w:rPr>
              <w:t>序号</w:t>
            </w:r>
          </w:p>
        </w:tc>
        <w:tc>
          <w:tcPr>
            <w:tcW w:w="2248" w:type="pct"/>
            <w:vAlign w:val="center"/>
          </w:tcPr>
          <w:p>
            <w:pPr>
              <w:snapToGrid w:val="0"/>
              <w:spacing w:line="440" w:lineRule="exact"/>
              <w:jc w:val="center"/>
              <w:rPr>
                <w:color w:val="000000"/>
                <w:szCs w:val="21"/>
              </w:rPr>
            </w:pPr>
            <w:r>
              <w:rPr>
                <w:rFonts w:hAnsi="宋体"/>
                <w:color w:val="000000"/>
                <w:szCs w:val="21"/>
              </w:rPr>
              <w:t>检验项目</w:t>
            </w:r>
          </w:p>
        </w:tc>
        <w:tc>
          <w:tcPr>
            <w:tcW w:w="2242" w:type="pct"/>
            <w:vAlign w:val="center"/>
          </w:tcPr>
          <w:p>
            <w:pPr>
              <w:snapToGrid w:val="0"/>
              <w:spacing w:line="440" w:lineRule="exact"/>
              <w:jc w:val="center"/>
              <w:rPr>
                <w:color w:val="000000"/>
                <w:szCs w:val="21"/>
              </w:rPr>
            </w:pPr>
            <w:r>
              <w:rPr>
                <w:rFonts w:hAnsi="宋体"/>
                <w:color w:val="000000"/>
                <w:szCs w:val="21"/>
              </w:rPr>
              <w:t>检</w:t>
            </w:r>
            <w:r>
              <w:rPr>
                <w:rFonts w:hint="eastAsia" w:hAnsi="宋体"/>
                <w:color w:val="000000"/>
                <w:szCs w:val="21"/>
              </w:rPr>
              <w:t>验</w:t>
            </w:r>
            <w:r>
              <w:rPr>
                <w:rFonts w:hAnsi="宋体"/>
                <w:color w:val="000000"/>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w:t>
            </w:r>
          </w:p>
        </w:tc>
        <w:tc>
          <w:tcPr>
            <w:tcW w:w="2248" w:type="pct"/>
            <w:vAlign w:val="center"/>
          </w:tcPr>
          <w:p>
            <w:pPr>
              <w:pStyle w:val="16"/>
              <w:snapToGrid w:val="0"/>
              <w:spacing w:line="440" w:lineRule="exact"/>
              <w:jc w:val="center"/>
              <w:rPr>
                <w:color w:val="000000"/>
                <w:szCs w:val="21"/>
              </w:rPr>
            </w:pPr>
            <w:r>
              <w:rPr>
                <w:rFonts w:hAnsi="宋体"/>
                <w:color w:val="000000"/>
                <w:szCs w:val="21"/>
              </w:rPr>
              <w:t>材料质量</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2</w:t>
            </w:r>
          </w:p>
        </w:tc>
        <w:tc>
          <w:tcPr>
            <w:tcW w:w="2248" w:type="pct"/>
            <w:vAlign w:val="center"/>
          </w:tcPr>
          <w:p>
            <w:pPr>
              <w:pStyle w:val="17"/>
              <w:snapToGrid w:val="0"/>
              <w:spacing w:line="440" w:lineRule="exact"/>
              <w:ind w:firstLine="0" w:firstLineChars="0"/>
              <w:jc w:val="center"/>
              <w:rPr>
                <w:rFonts w:ascii="Times New Roman"/>
                <w:color w:val="000000"/>
                <w:kern w:val="2"/>
                <w:szCs w:val="21"/>
              </w:rPr>
            </w:pPr>
            <w:r>
              <w:rPr>
                <w:rFonts w:ascii="Times New Roman" w:hAnsi="宋体"/>
                <w:color w:val="000000"/>
                <w:kern w:val="2"/>
                <w:szCs w:val="21"/>
              </w:rPr>
              <w:t>特定可迁移元素最大限量</w:t>
            </w:r>
          </w:p>
        </w:tc>
        <w:tc>
          <w:tcPr>
            <w:tcW w:w="2242" w:type="pct"/>
            <w:vAlign w:val="center"/>
          </w:tcPr>
          <w:p>
            <w:pPr>
              <w:snapToGrid w:val="0"/>
              <w:spacing w:line="440" w:lineRule="exact"/>
              <w:ind w:firstLine="199" w:firstLineChars="95"/>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3</w:t>
            </w:r>
          </w:p>
        </w:tc>
        <w:tc>
          <w:tcPr>
            <w:tcW w:w="2248" w:type="pct"/>
            <w:vAlign w:val="center"/>
          </w:tcPr>
          <w:p>
            <w:pPr>
              <w:snapToGrid w:val="0"/>
              <w:spacing w:line="440" w:lineRule="exact"/>
              <w:jc w:val="center"/>
              <w:rPr>
                <w:color w:val="000000"/>
                <w:szCs w:val="21"/>
              </w:rPr>
            </w:pPr>
            <w:r>
              <w:rPr>
                <w:rFonts w:hAnsi="宋体"/>
                <w:color w:val="000000"/>
                <w:szCs w:val="21"/>
              </w:rPr>
              <w:t>金属表面</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4</w:t>
            </w:r>
          </w:p>
        </w:tc>
        <w:tc>
          <w:tcPr>
            <w:tcW w:w="2248" w:type="pct"/>
            <w:vAlign w:val="center"/>
          </w:tcPr>
          <w:p>
            <w:pPr>
              <w:snapToGrid w:val="0"/>
              <w:spacing w:line="440" w:lineRule="exact"/>
              <w:jc w:val="center"/>
              <w:rPr>
                <w:color w:val="000000"/>
                <w:szCs w:val="21"/>
              </w:rPr>
            </w:pPr>
            <w:r>
              <w:rPr>
                <w:rFonts w:hAnsi="宋体"/>
                <w:color w:val="000000"/>
                <w:szCs w:val="21"/>
              </w:rPr>
              <w:t>木制部件</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5</w:t>
            </w:r>
          </w:p>
        </w:tc>
        <w:tc>
          <w:tcPr>
            <w:tcW w:w="2248" w:type="pct"/>
            <w:vAlign w:val="center"/>
          </w:tcPr>
          <w:p>
            <w:pPr>
              <w:snapToGrid w:val="0"/>
              <w:spacing w:line="440" w:lineRule="exact"/>
              <w:jc w:val="center"/>
              <w:rPr>
                <w:color w:val="000000"/>
                <w:szCs w:val="21"/>
              </w:rPr>
            </w:pPr>
            <w:r>
              <w:rPr>
                <w:rFonts w:hAnsi="宋体"/>
                <w:color w:val="000000"/>
                <w:szCs w:val="21"/>
              </w:rPr>
              <w:t>危险夹缝及孔、开口</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6</w:t>
            </w:r>
          </w:p>
        </w:tc>
        <w:tc>
          <w:tcPr>
            <w:tcW w:w="2248" w:type="pct"/>
            <w:vAlign w:val="center"/>
          </w:tcPr>
          <w:p>
            <w:pPr>
              <w:snapToGrid w:val="0"/>
              <w:spacing w:line="440" w:lineRule="exact"/>
              <w:jc w:val="center"/>
              <w:rPr>
                <w:color w:val="000000"/>
                <w:szCs w:val="21"/>
              </w:rPr>
            </w:pPr>
            <w:r>
              <w:rPr>
                <w:rFonts w:hAnsi="宋体"/>
                <w:color w:val="000000"/>
                <w:szCs w:val="21"/>
              </w:rPr>
              <w:t>弹簧</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7</w:t>
            </w:r>
          </w:p>
        </w:tc>
        <w:tc>
          <w:tcPr>
            <w:tcW w:w="2248" w:type="pct"/>
            <w:vAlign w:val="center"/>
          </w:tcPr>
          <w:p>
            <w:pPr>
              <w:snapToGrid w:val="0"/>
              <w:spacing w:line="440" w:lineRule="exact"/>
              <w:jc w:val="center"/>
              <w:rPr>
                <w:color w:val="000000"/>
                <w:szCs w:val="21"/>
              </w:rPr>
            </w:pPr>
            <w:r>
              <w:rPr>
                <w:rFonts w:hAnsi="宋体"/>
                <w:color w:val="000000"/>
                <w:szCs w:val="21"/>
              </w:rPr>
              <w:t>外露突出物</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8</w:t>
            </w:r>
          </w:p>
        </w:tc>
        <w:tc>
          <w:tcPr>
            <w:tcW w:w="2248" w:type="pct"/>
            <w:vAlign w:val="center"/>
          </w:tcPr>
          <w:p>
            <w:pPr>
              <w:snapToGrid w:val="0"/>
              <w:spacing w:line="440" w:lineRule="exact"/>
              <w:jc w:val="center"/>
              <w:rPr>
                <w:color w:val="000000"/>
                <w:szCs w:val="21"/>
              </w:rPr>
            </w:pPr>
            <w:r>
              <w:rPr>
                <w:rFonts w:hAnsi="宋体"/>
                <w:color w:val="000000"/>
                <w:szCs w:val="21"/>
              </w:rPr>
              <w:t>可触及部件</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9</w:t>
            </w:r>
          </w:p>
        </w:tc>
        <w:tc>
          <w:tcPr>
            <w:tcW w:w="2248" w:type="pct"/>
            <w:vAlign w:val="center"/>
          </w:tcPr>
          <w:p>
            <w:pPr>
              <w:snapToGrid w:val="0"/>
              <w:spacing w:line="440" w:lineRule="exact"/>
              <w:jc w:val="center"/>
              <w:rPr>
                <w:color w:val="000000"/>
                <w:szCs w:val="21"/>
              </w:rPr>
            </w:pPr>
            <w:r>
              <w:rPr>
                <w:rFonts w:hAnsi="宋体"/>
                <w:color w:val="000000"/>
                <w:szCs w:val="21"/>
              </w:rPr>
              <w:t>绳索</w:t>
            </w:r>
            <w:r>
              <w:rPr>
                <w:color w:val="000000"/>
                <w:szCs w:val="21"/>
              </w:rPr>
              <w:t>/</w:t>
            </w:r>
            <w:r>
              <w:rPr>
                <w:rFonts w:hAnsi="宋体"/>
                <w:color w:val="000000"/>
                <w:szCs w:val="21"/>
              </w:rPr>
              <w:t>弹性绳等绳状物</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10</w:t>
            </w:r>
          </w:p>
        </w:tc>
        <w:tc>
          <w:tcPr>
            <w:tcW w:w="2248" w:type="pct"/>
            <w:vAlign w:val="center"/>
          </w:tcPr>
          <w:p>
            <w:pPr>
              <w:snapToGrid w:val="0"/>
              <w:spacing w:line="440" w:lineRule="exact"/>
              <w:jc w:val="center"/>
              <w:rPr>
                <w:color w:val="000000"/>
                <w:szCs w:val="21"/>
              </w:rPr>
            </w:pPr>
            <w:r>
              <w:rPr>
                <w:rFonts w:hAnsi="宋体"/>
                <w:color w:val="000000"/>
                <w:szCs w:val="21"/>
              </w:rPr>
              <w:t>锁定、折叠和框架调节装置</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11</w:t>
            </w:r>
          </w:p>
        </w:tc>
        <w:tc>
          <w:tcPr>
            <w:tcW w:w="2248" w:type="pct"/>
            <w:vAlign w:val="center"/>
          </w:tcPr>
          <w:p>
            <w:pPr>
              <w:snapToGrid w:val="0"/>
              <w:spacing w:line="440" w:lineRule="exact"/>
              <w:jc w:val="center"/>
              <w:rPr>
                <w:color w:val="000000"/>
                <w:szCs w:val="21"/>
              </w:rPr>
            </w:pPr>
            <w:r>
              <w:rPr>
                <w:rFonts w:hAnsi="宋体"/>
                <w:color w:val="000000"/>
                <w:szCs w:val="21"/>
              </w:rPr>
              <w:t>挤夹、剪切</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12</w:t>
            </w:r>
          </w:p>
        </w:tc>
        <w:tc>
          <w:tcPr>
            <w:tcW w:w="2248" w:type="pct"/>
            <w:vAlign w:val="center"/>
          </w:tcPr>
          <w:p>
            <w:pPr>
              <w:snapToGrid w:val="0"/>
              <w:spacing w:line="440" w:lineRule="exact"/>
              <w:jc w:val="center"/>
              <w:rPr>
                <w:color w:val="000000"/>
                <w:szCs w:val="21"/>
              </w:rPr>
            </w:pPr>
            <w:r>
              <w:rPr>
                <w:rFonts w:hAnsi="宋体"/>
                <w:color w:val="000000"/>
                <w:szCs w:val="21"/>
              </w:rPr>
              <w:t>跨带宽度</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13</w:t>
            </w:r>
          </w:p>
        </w:tc>
        <w:tc>
          <w:tcPr>
            <w:tcW w:w="2248" w:type="pct"/>
            <w:vAlign w:val="center"/>
          </w:tcPr>
          <w:p>
            <w:pPr>
              <w:snapToGrid w:val="0"/>
              <w:spacing w:line="440" w:lineRule="exact"/>
              <w:jc w:val="center"/>
              <w:rPr>
                <w:color w:val="000000"/>
                <w:szCs w:val="21"/>
              </w:rPr>
            </w:pPr>
            <w:r>
              <w:rPr>
                <w:rFonts w:hAnsi="宋体"/>
                <w:color w:val="000000"/>
                <w:szCs w:val="21"/>
              </w:rPr>
              <w:t>座位</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14</w:t>
            </w:r>
          </w:p>
        </w:tc>
        <w:tc>
          <w:tcPr>
            <w:tcW w:w="2248" w:type="pct"/>
            <w:vAlign w:val="center"/>
          </w:tcPr>
          <w:p>
            <w:pPr>
              <w:snapToGrid w:val="0"/>
              <w:spacing w:line="440" w:lineRule="exact"/>
              <w:jc w:val="center"/>
              <w:rPr>
                <w:color w:val="000000"/>
                <w:szCs w:val="21"/>
              </w:rPr>
            </w:pPr>
            <w:r>
              <w:rPr>
                <w:rFonts w:hAnsi="宋体"/>
                <w:color w:val="000000"/>
                <w:szCs w:val="21"/>
              </w:rPr>
              <w:t>学步车脚轮</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15</w:t>
            </w:r>
          </w:p>
        </w:tc>
        <w:tc>
          <w:tcPr>
            <w:tcW w:w="2248" w:type="pct"/>
            <w:vAlign w:val="center"/>
          </w:tcPr>
          <w:p>
            <w:pPr>
              <w:snapToGrid w:val="0"/>
              <w:spacing w:line="440" w:lineRule="exact"/>
              <w:jc w:val="center"/>
              <w:rPr>
                <w:color w:val="000000"/>
                <w:szCs w:val="21"/>
              </w:rPr>
            </w:pPr>
            <w:r>
              <w:rPr>
                <w:rFonts w:hAnsi="宋体"/>
                <w:color w:val="000000"/>
                <w:szCs w:val="21"/>
              </w:rPr>
              <w:t>框架离地高度</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16</w:t>
            </w:r>
          </w:p>
        </w:tc>
        <w:tc>
          <w:tcPr>
            <w:tcW w:w="2248" w:type="pct"/>
            <w:vAlign w:val="center"/>
          </w:tcPr>
          <w:p>
            <w:pPr>
              <w:snapToGrid w:val="0"/>
              <w:spacing w:line="440" w:lineRule="exact"/>
              <w:jc w:val="center"/>
              <w:rPr>
                <w:color w:val="000000"/>
                <w:szCs w:val="21"/>
              </w:rPr>
            </w:pPr>
            <w:r>
              <w:rPr>
                <w:rFonts w:hAnsi="宋体"/>
                <w:color w:val="000000"/>
                <w:szCs w:val="21"/>
              </w:rPr>
              <w:t>防撞间距</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17</w:t>
            </w:r>
          </w:p>
        </w:tc>
        <w:tc>
          <w:tcPr>
            <w:tcW w:w="2248" w:type="pct"/>
            <w:vAlign w:val="center"/>
          </w:tcPr>
          <w:p>
            <w:pPr>
              <w:snapToGrid w:val="0"/>
              <w:spacing w:line="440" w:lineRule="exact"/>
              <w:jc w:val="center"/>
              <w:rPr>
                <w:color w:val="000000"/>
                <w:szCs w:val="21"/>
              </w:rPr>
            </w:pPr>
            <w:r>
              <w:rPr>
                <w:rFonts w:hAnsi="宋体"/>
                <w:color w:val="000000"/>
                <w:szCs w:val="21"/>
              </w:rPr>
              <w:t>静态稳定性</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18</w:t>
            </w:r>
          </w:p>
        </w:tc>
        <w:tc>
          <w:tcPr>
            <w:tcW w:w="2248" w:type="pct"/>
            <w:vAlign w:val="center"/>
          </w:tcPr>
          <w:p>
            <w:pPr>
              <w:snapToGrid w:val="0"/>
              <w:spacing w:line="440" w:lineRule="exact"/>
              <w:jc w:val="center"/>
              <w:rPr>
                <w:color w:val="000000"/>
                <w:szCs w:val="21"/>
              </w:rPr>
            </w:pPr>
            <w:r>
              <w:rPr>
                <w:rFonts w:hAnsi="宋体"/>
                <w:color w:val="000000"/>
                <w:szCs w:val="21"/>
              </w:rPr>
              <w:t>动态稳定性</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19</w:t>
            </w:r>
          </w:p>
        </w:tc>
        <w:tc>
          <w:tcPr>
            <w:tcW w:w="2248" w:type="pct"/>
            <w:vAlign w:val="center"/>
          </w:tcPr>
          <w:p>
            <w:pPr>
              <w:snapToGrid w:val="0"/>
              <w:spacing w:line="440" w:lineRule="exact"/>
              <w:jc w:val="center"/>
              <w:rPr>
                <w:color w:val="000000"/>
                <w:szCs w:val="21"/>
              </w:rPr>
            </w:pPr>
            <w:r>
              <w:rPr>
                <w:rFonts w:hAnsi="宋体"/>
                <w:color w:val="000000"/>
                <w:szCs w:val="21"/>
              </w:rPr>
              <w:t>静态强度</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20</w:t>
            </w:r>
          </w:p>
        </w:tc>
        <w:tc>
          <w:tcPr>
            <w:tcW w:w="2248" w:type="pct"/>
            <w:vAlign w:val="center"/>
          </w:tcPr>
          <w:p>
            <w:pPr>
              <w:snapToGrid w:val="0"/>
              <w:spacing w:line="440" w:lineRule="exact"/>
              <w:jc w:val="center"/>
              <w:rPr>
                <w:color w:val="000000"/>
                <w:szCs w:val="21"/>
              </w:rPr>
            </w:pPr>
            <w:r>
              <w:rPr>
                <w:rFonts w:hAnsi="宋体"/>
                <w:color w:val="000000"/>
                <w:szCs w:val="21"/>
              </w:rPr>
              <w:t>动态强度</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21</w:t>
            </w:r>
          </w:p>
        </w:tc>
        <w:tc>
          <w:tcPr>
            <w:tcW w:w="2248" w:type="pct"/>
            <w:vAlign w:val="center"/>
          </w:tcPr>
          <w:p>
            <w:pPr>
              <w:snapToGrid w:val="0"/>
              <w:spacing w:line="440" w:lineRule="exact"/>
              <w:jc w:val="center"/>
              <w:rPr>
                <w:color w:val="000000"/>
                <w:szCs w:val="21"/>
              </w:rPr>
            </w:pPr>
            <w:r>
              <w:rPr>
                <w:rFonts w:hAnsi="宋体"/>
                <w:color w:val="000000"/>
                <w:szCs w:val="21"/>
              </w:rPr>
              <w:t>碰撞强度</w:t>
            </w:r>
          </w:p>
        </w:tc>
        <w:tc>
          <w:tcPr>
            <w:tcW w:w="2242" w:type="pct"/>
            <w:vAlign w:val="center"/>
          </w:tcPr>
          <w:p>
            <w:pPr>
              <w:snapToGrid w:val="0"/>
              <w:spacing w:line="440" w:lineRule="exact"/>
              <w:jc w:val="center"/>
              <w:rPr>
                <w:color w:val="000000"/>
                <w:szCs w:val="21"/>
              </w:rPr>
            </w:pPr>
            <w:r>
              <w:rPr>
                <w:szCs w:val="21"/>
              </w:rPr>
              <w:t>GB 14749-2006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jc w:val="center"/>
        </w:trPr>
        <w:tc>
          <w:tcPr>
            <w:tcW w:w="509" w:type="pct"/>
            <w:vAlign w:val="center"/>
          </w:tcPr>
          <w:p>
            <w:pPr>
              <w:snapToGrid w:val="0"/>
              <w:spacing w:line="440" w:lineRule="exact"/>
              <w:jc w:val="center"/>
              <w:rPr>
                <w:color w:val="000000"/>
                <w:szCs w:val="21"/>
              </w:rPr>
            </w:pPr>
            <w:r>
              <w:rPr>
                <w:color w:val="000000"/>
                <w:szCs w:val="21"/>
              </w:rPr>
              <w:t>22</w:t>
            </w:r>
          </w:p>
        </w:tc>
        <w:tc>
          <w:tcPr>
            <w:tcW w:w="2248" w:type="pct"/>
            <w:vAlign w:val="center"/>
          </w:tcPr>
          <w:p>
            <w:pPr>
              <w:snapToGrid w:val="0"/>
              <w:spacing w:line="440" w:lineRule="exact"/>
              <w:jc w:val="center"/>
              <w:rPr>
                <w:rFonts w:hAnsi="宋体"/>
                <w:color w:val="000000"/>
                <w:szCs w:val="21"/>
              </w:rPr>
            </w:pPr>
            <w:r>
              <w:rPr>
                <w:rFonts w:hAnsi="宋体"/>
                <w:color w:val="000000"/>
                <w:szCs w:val="21"/>
              </w:rPr>
              <w:t>燃烧性能</w:t>
            </w:r>
          </w:p>
        </w:tc>
        <w:tc>
          <w:tcPr>
            <w:tcW w:w="2242" w:type="pct"/>
            <w:vAlign w:val="center"/>
          </w:tcPr>
          <w:p>
            <w:pPr>
              <w:snapToGrid w:val="0"/>
              <w:spacing w:line="440" w:lineRule="exact"/>
              <w:jc w:val="center"/>
              <w:rPr>
                <w:color w:val="000000"/>
                <w:szCs w:val="21"/>
              </w:rPr>
            </w:pPr>
            <w:r>
              <w:rPr>
                <w:szCs w:val="21"/>
              </w:rPr>
              <w:t>GB 14749-2006</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宋体" w:hAnsi="宋体"/>
          <w:color w:val="000000"/>
          <w:szCs w:val="21"/>
        </w:rPr>
      </w:pPr>
    </w:p>
    <w:p>
      <w:pPr>
        <w:spacing w:line="360" w:lineRule="auto"/>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3.1依据标准</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GB 14749-2006婴儿学步车安全要求</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432930-7068-4A35-AD82-BEF55AB32C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5584F89-FB93-43D3-BF8D-74025D13E791}"/>
  </w:font>
  <w:font w:name="方正仿宋_GBK">
    <w:panose1 w:val="02000000000000000000"/>
    <w:charset w:val="86"/>
    <w:family w:val="script"/>
    <w:pitch w:val="default"/>
    <w:sig w:usb0="A00002BF" w:usb1="38CF7CFA" w:usb2="00082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embedRegular r:id="rId3" w:fontKey="{51FE2C44-DCA2-4E36-A7B1-F72570DB6465}"/>
  </w:font>
  <w:font w:name="仿宋">
    <w:panose1 w:val="02010609060101010101"/>
    <w:charset w:val="86"/>
    <w:family w:val="modern"/>
    <w:pitch w:val="default"/>
    <w:sig w:usb0="800002BF" w:usb1="38CF7CFA" w:usb2="00000016" w:usb3="00000000" w:csb0="00040001" w:csb1="00000000"/>
    <w:embedRegular r:id="rId4" w:fontKey="{B7E86FA6-B4ED-48AC-BF77-A19EB83E5F8F}"/>
  </w:font>
  <w:font w:name="方正仿宋简体">
    <w:panose1 w:val="02000000000000000000"/>
    <w:charset w:val="86"/>
    <w:family w:val="auto"/>
    <w:pitch w:val="default"/>
    <w:sig w:usb0="A00002BF" w:usb1="184F6CFA" w:usb2="00000012" w:usb3="00000000" w:csb0="00040001" w:csb1="00000000"/>
    <w:embedRegular r:id="rId5" w:fontKey="{F1FB8B4F-A01B-485D-B2A4-A2EEE69B43C1}"/>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A2OWU5ODBiYTQ1ZDhlNWNhMGE0ZmQ3OWIzYWVkMDIifQ=="/>
  </w:docVars>
  <w:rsids>
    <w:rsidRoot w:val="004E1C1B"/>
    <w:rsid w:val="00000AC9"/>
    <w:rsid w:val="00063F4C"/>
    <w:rsid w:val="00065DD9"/>
    <w:rsid w:val="00070677"/>
    <w:rsid w:val="000709D6"/>
    <w:rsid w:val="0007289B"/>
    <w:rsid w:val="0007432E"/>
    <w:rsid w:val="000938BE"/>
    <w:rsid w:val="000A49E7"/>
    <w:rsid w:val="000E7B21"/>
    <w:rsid w:val="000F47BD"/>
    <w:rsid w:val="001002C5"/>
    <w:rsid w:val="0010147F"/>
    <w:rsid w:val="001047E9"/>
    <w:rsid w:val="001107C8"/>
    <w:rsid w:val="001115F1"/>
    <w:rsid w:val="00121A44"/>
    <w:rsid w:val="00126693"/>
    <w:rsid w:val="0013672B"/>
    <w:rsid w:val="00170C0D"/>
    <w:rsid w:val="00176416"/>
    <w:rsid w:val="0018638C"/>
    <w:rsid w:val="001A6F39"/>
    <w:rsid w:val="001B4339"/>
    <w:rsid w:val="001C3A65"/>
    <w:rsid w:val="001D01A2"/>
    <w:rsid w:val="001E160C"/>
    <w:rsid w:val="001E44BD"/>
    <w:rsid w:val="001F3FE8"/>
    <w:rsid w:val="00200658"/>
    <w:rsid w:val="00207F0B"/>
    <w:rsid w:val="00211FF9"/>
    <w:rsid w:val="002122B4"/>
    <w:rsid w:val="00226A0D"/>
    <w:rsid w:val="00227EAF"/>
    <w:rsid w:val="00230A9A"/>
    <w:rsid w:val="00240531"/>
    <w:rsid w:val="00245C71"/>
    <w:rsid w:val="00246A7D"/>
    <w:rsid w:val="00246AC4"/>
    <w:rsid w:val="00263F0A"/>
    <w:rsid w:val="00267D91"/>
    <w:rsid w:val="00272CA1"/>
    <w:rsid w:val="00277D59"/>
    <w:rsid w:val="00284C45"/>
    <w:rsid w:val="00286B66"/>
    <w:rsid w:val="00292F7F"/>
    <w:rsid w:val="002A7AFD"/>
    <w:rsid w:val="002C47A2"/>
    <w:rsid w:val="002E353E"/>
    <w:rsid w:val="00311865"/>
    <w:rsid w:val="00314332"/>
    <w:rsid w:val="00360E00"/>
    <w:rsid w:val="0037167C"/>
    <w:rsid w:val="00377C3F"/>
    <w:rsid w:val="003808FF"/>
    <w:rsid w:val="00391DBC"/>
    <w:rsid w:val="00411D24"/>
    <w:rsid w:val="00414D47"/>
    <w:rsid w:val="00454452"/>
    <w:rsid w:val="00473779"/>
    <w:rsid w:val="0049360D"/>
    <w:rsid w:val="004A080F"/>
    <w:rsid w:val="004C13EF"/>
    <w:rsid w:val="004E1C1B"/>
    <w:rsid w:val="004E2FFC"/>
    <w:rsid w:val="00506FC8"/>
    <w:rsid w:val="00513180"/>
    <w:rsid w:val="00525C57"/>
    <w:rsid w:val="00553171"/>
    <w:rsid w:val="00556685"/>
    <w:rsid w:val="00561840"/>
    <w:rsid w:val="00567492"/>
    <w:rsid w:val="005758EC"/>
    <w:rsid w:val="005832E3"/>
    <w:rsid w:val="005B3386"/>
    <w:rsid w:val="005C1376"/>
    <w:rsid w:val="00605616"/>
    <w:rsid w:val="00615130"/>
    <w:rsid w:val="00622E51"/>
    <w:rsid w:val="00623104"/>
    <w:rsid w:val="00655983"/>
    <w:rsid w:val="0065615B"/>
    <w:rsid w:val="006669B0"/>
    <w:rsid w:val="00681809"/>
    <w:rsid w:val="006C5285"/>
    <w:rsid w:val="006E5779"/>
    <w:rsid w:val="006E7112"/>
    <w:rsid w:val="007228BE"/>
    <w:rsid w:val="00724404"/>
    <w:rsid w:val="00746248"/>
    <w:rsid w:val="007652FF"/>
    <w:rsid w:val="0076751A"/>
    <w:rsid w:val="007677FA"/>
    <w:rsid w:val="00775C4F"/>
    <w:rsid w:val="00813A0F"/>
    <w:rsid w:val="00814659"/>
    <w:rsid w:val="008365CF"/>
    <w:rsid w:val="008468A1"/>
    <w:rsid w:val="00852AAD"/>
    <w:rsid w:val="008927E7"/>
    <w:rsid w:val="008B6FBF"/>
    <w:rsid w:val="008C4CED"/>
    <w:rsid w:val="008E46F3"/>
    <w:rsid w:val="008E6FAA"/>
    <w:rsid w:val="008F15D1"/>
    <w:rsid w:val="00914F1C"/>
    <w:rsid w:val="00916257"/>
    <w:rsid w:val="009218FD"/>
    <w:rsid w:val="00922C7B"/>
    <w:rsid w:val="00932D5C"/>
    <w:rsid w:val="00940525"/>
    <w:rsid w:val="00943D47"/>
    <w:rsid w:val="00950D6F"/>
    <w:rsid w:val="0097606A"/>
    <w:rsid w:val="00990F2D"/>
    <w:rsid w:val="00995C43"/>
    <w:rsid w:val="00996DCB"/>
    <w:rsid w:val="009B0746"/>
    <w:rsid w:val="009C4FE0"/>
    <w:rsid w:val="009E3FA0"/>
    <w:rsid w:val="00A02043"/>
    <w:rsid w:val="00A074AF"/>
    <w:rsid w:val="00A30649"/>
    <w:rsid w:val="00A41A21"/>
    <w:rsid w:val="00A51975"/>
    <w:rsid w:val="00A67D77"/>
    <w:rsid w:val="00A871CD"/>
    <w:rsid w:val="00A957C3"/>
    <w:rsid w:val="00AA71CE"/>
    <w:rsid w:val="00AC063A"/>
    <w:rsid w:val="00AE29EC"/>
    <w:rsid w:val="00AF157E"/>
    <w:rsid w:val="00AF7D1B"/>
    <w:rsid w:val="00B141CB"/>
    <w:rsid w:val="00B47EB8"/>
    <w:rsid w:val="00B50BA4"/>
    <w:rsid w:val="00B61E92"/>
    <w:rsid w:val="00B64D86"/>
    <w:rsid w:val="00B738AD"/>
    <w:rsid w:val="00B918EF"/>
    <w:rsid w:val="00BB4190"/>
    <w:rsid w:val="00BC6C8D"/>
    <w:rsid w:val="00BD6C92"/>
    <w:rsid w:val="00BE295B"/>
    <w:rsid w:val="00BE42E1"/>
    <w:rsid w:val="00BE7DDE"/>
    <w:rsid w:val="00BF5FD7"/>
    <w:rsid w:val="00C04B27"/>
    <w:rsid w:val="00C20A78"/>
    <w:rsid w:val="00C44678"/>
    <w:rsid w:val="00C642B3"/>
    <w:rsid w:val="00C718EC"/>
    <w:rsid w:val="00C82346"/>
    <w:rsid w:val="00CA1AE0"/>
    <w:rsid w:val="00CB3159"/>
    <w:rsid w:val="00CC17D0"/>
    <w:rsid w:val="00CC2E25"/>
    <w:rsid w:val="00CC53AD"/>
    <w:rsid w:val="00CD2529"/>
    <w:rsid w:val="00CE5841"/>
    <w:rsid w:val="00D0415C"/>
    <w:rsid w:val="00D1773D"/>
    <w:rsid w:val="00D2319E"/>
    <w:rsid w:val="00D5109D"/>
    <w:rsid w:val="00D52087"/>
    <w:rsid w:val="00D63229"/>
    <w:rsid w:val="00D85C1C"/>
    <w:rsid w:val="00DB1A1F"/>
    <w:rsid w:val="00DC4B95"/>
    <w:rsid w:val="00DD3B1A"/>
    <w:rsid w:val="00DD5955"/>
    <w:rsid w:val="00E02D4E"/>
    <w:rsid w:val="00E57D36"/>
    <w:rsid w:val="00E71257"/>
    <w:rsid w:val="00EB1677"/>
    <w:rsid w:val="00EF40B5"/>
    <w:rsid w:val="00EF5E2D"/>
    <w:rsid w:val="00F05AD7"/>
    <w:rsid w:val="00F06385"/>
    <w:rsid w:val="00F5326D"/>
    <w:rsid w:val="00F75F78"/>
    <w:rsid w:val="00F762D5"/>
    <w:rsid w:val="00F7657A"/>
    <w:rsid w:val="00F85ECA"/>
    <w:rsid w:val="00F96067"/>
    <w:rsid w:val="00FB20D9"/>
    <w:rsid w:val="00FC0FEC"/>
    <w:rsid w:val="00FC4DEC"/>
    <w:rsid w:val="00FE2C15"/>
    <w:rsid w:val="21231215"/>
    <w:rsid w:val="2B734CB0"/>
    <w:rsid w:val="381817B9"/>
    <w:rsid w:val="3DFA34DB"/>
    <w:rsid w:val="412A3620"/>
    <w:rsid w:val="4A845F51"/>
    <w:rsid w:val="543008BE"/>
    <w:rsid w:val="551B1D75"/>
    <w:rsid w:val="65D45C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15"/>
    <w:autoRedefine/>
    <w:qFormat/>
    <w:uiPriority w:val="0"/>
    <w:rPr>
      <w:rFonts w:ascii="宋体" w:hAnsi="Courier New"/>
      <w:szCs w:val="20"/>
    </w:rPr>
  </w:style>
  <w:style w:type="paragraph" w:styleId="3">
    <w:name w:val="Balloon Text"/>
    <w:basedOn w:val="1"/>
    <w:link w:val="14"/>
    <w:autoRedefine/>
    <w:unhideWhenUsed/>
    <w:qFormat/>
    <w:uiPriority w:val="99"/>
    <w:rPr>
      <w:sz w:val="18"/>
      <w:szCs w:val="18"/>
    </w:rPr>
  </w:style>
  <w:style w:type="paragraph" w:styleId="4">
    <w:name w:val="footer"/>
    <w:basedOn w:val="1"/>
    <w:link w:val="10"/>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page number"/>
    <w:basedOn w:val="8"/>
    <w:autoRedefine/>
    <w:qFormat/>
    <w:uiPriority w:val="0"/>
  </w:style>
  <w:style w:type="character" w:customStyle="1" w:styleId="10">
    <w:name w:val="页脚 Char"/>
    <w:basedOn w:val="8"/>
    <w:link w:val="4"/>
    <w:autoRedefine/>
    <w:qFormat/>
    <w:uiPriority w:val="0"/>
    <w:rPr>
      <w:sz w:val="18"/>
      <w:szCs w:val="18"/>
    </w:rPr>
  </w:style>
  <w:style w:type="character" w:customStyle="1" w:styleId="11">
    <w:name w:val="页眉 Char"/>
    <w:basedOn w:val="8"/>
    <w:link w:val="5"/>
    <w:autoRedefine/>
    <w:qFormat/>
    <w:uiPriority w:val="99"/>
    <w:rPr>
      <w:sz w:val="18"/>
      <w:szCs w:val="18"/>
    </w:rPr>
  </w:style>
  <w:style w:type="character" w:customStyle="1" w:styleId="12">
    <w:name w:val="页脚 Char1"/>
    <w:basedOn w:val="8"/>
    <w:autoRedefine/>
    <w:semiHidden/>
    <w:qFormat/>
    <w:uiPriority w:val="99"/>
    <w:rPr>
      <w:rFonts w:ascii="Times New Roman" w:hAnsi="Times New Roman" w:eastAsia="宋体" w:cs="Times New Roman"/>
      <w:sz w:val="18"/>
      <w:szCs w:val="18"/>
    </w:rPr>
  </w:style>
  <w:style w:type="character" w:customStyle="1" w:styleId="13">
    <w:name w:val="页眉 Char1"/>
    <w:basedOn w:val="8"/>
    <w:autoRedefine/>
    <w:semiHidden/>
    <w:qFormat/>
    <w:uiPriority w:val="99"/>
    <w:rPr>
      <w:rFonts w:ascii="Times New Roman" w:hAnsi="Times New Roman" w:eastAsia="宋体" w:cs="Times New Roman"/>
      <w:sz w:val="18"/>
      <w:szCs w:val="18"/>
    </w:rPr>
  </w:style>
  <w:style w:type="character" w:customStyle="1" w:styleId="14">
    <w:name w:val="批注框文本 Char"/>
    <w:basedOn w:val="8"/>
    <w:link w:val="3"/>
    <w:autoRedefine/>
    <w:semiHidden/>
    <w:qFormat/>
    <w:uiPriority w:val="99"/>
    <w:rPr>
      <w:rFonts w:ascii="Times New Roman" w:hAnsi="Times New Roman" w:eastAsia="宋体" w:cs="Times New Roman"/>
      <w:sz w:val="18"/>
      <w:szCs w:val="18"/>
    </w:rPr>
  </w:style>
  <w:style w:type="character" w:customStyle="1" w:styleId="15">
    <w:name w:val="纯文本 Char"/>
    <w:basedOn w:val="8"/>
    <w:link w:val="2"/>
    <w:autoRedefine/>
    <w:qFormat/>
    <w:uiPriority w:val="0"/>
    <w:rPr>
      <w:rFonts w:ascii="宋体" w:hAnsi="Courier New" w:eastAsia="宋体" w:cs="Times New Roman"/>
      <w:szCs w:val="20"/>
    </w:rPr>
  </w:style>
  <w:style w:type="paragraph" w:customStyle="1" w:styleId="16">
    <w:name w:val="二级无标题条"/>
    <w:basedOn w:val="1"/>
    <w:autoRedefine/>
    <w:qFormat/>
    <w:uiPriority w:val="0"/>
  </w:style>
  <w:style w:type="paragraph" w:customStyle="1" w:styleId="17">
    <w:name w:val="段"/>
    <w:autoRedefine/>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18">
    <w:name w:val="二级条标题"/>
    <w:basedOn w:val="1"/>
    <w:next w:val="17"/>
    <w:autoRedefine/>
    <w:qFormat/>
    <w:uiPriority w:val="0"/>
    <w:pPr>
      <w:widowControl/>
      <w:tabs>
        <w:tab w:val="left" w:pos="1680"/>
      </w:tabs>
      <w:ind w:left="1680" w:hanging="420"/>
      <w:outlineLvl w:val="3"/>
    </w:pPr>
    <w:rPr>
      <w:rFonts w:ascii="黑体" w:eastAsia="黑体"/>
      <w:kern w:val="0"/>
      <w:szCs w:val="20"/>
    </w:rPr>
  </w:style>
  <w:style w:type="character" w:customStyle="1" w:styleId="19">
    <w:name w:val="font131"/>
    <w:autoRedefine/>
    <w:qFormat/>
    <w:uiPriority w:val="0"/>
    <w:rPr>
      <w:rFonts w:hint="eastAsia" w:ascii="方正仿宋_GBK" w:hAnsi="方正仿宋_GBK" w:eastAsia="方正仿宋_GBK" w:cs="方正仿宋_GBK"/>
      <w:color w:val="000000"/>
      <w:sz w:val="22"/>
      <w:szCs w:val="22"/>
      <w:u w:val="none"/>
    </w:rPr>
  </w:style>
  <w:style w:type="paragraph" w:customStyle="1" w:styleId="20">
    <w:name w:val="列项·"/>
    <w:autoRedefine/>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174</Words>
  <Characters>998</Characters>
  <Lines>8</Lines>
  <Paragraphs>2</Paragraphs>
  <TotalTime>2</TotalTime>
  <ScaleCrop>false</ScaleCrop>
  <LinksUpToDate>false</LinksUpToDate>
  <CharactersWithSpaces>1170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2021-03-24T12:05:00Z</dcterms:created>
  <dc:creator>pc</dc:creator>
  <cp:lastModifiedBy>王达达</cp:lastModifiedBy>
  <dcterms:modified xsi:type="dcterms:W3CDTF">2024-03-21T06:38:32Z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0760EB473B8D4804ADCFFEC1842F645A</vt:lpwstr>
  </property>
</Properties>
</file>