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方正小标宋简体" w:hAnsi="仿宋" w:eastAsia="方正小标宋简体" w:cs="方正仿宋简体"/>
          <w:sz w:val="32"/>
          <w:szCs w:val="32"/>
        </w:rPr>
      </w:pPr>
      <w:r>
        <w:rPr>
          <w:rFonts w:hint="eastAsia" w:ascii="方正小标宋简体" w:hAnsi="仿宋" w:eastAsia="方正小标宋简体" w:cs="方正仿宋简体"/>
          <w:sz w:val="32"/>
          <w:szCs w:val="32"/>
        </w:rPr>
        <w:t>重庆市摩托车、电动自行车乘员头盔产品质量监督抽查实施细则</w:t>
      </w:r>
    </w:p>
    <w:p>
      <w:pPr>
        <w:snapToGrid w:val="0"/>
        <w:spacing w:line="360" w:lineRule="auto"/>
        <w:jc w:val="center"/>
        <w:rPr>
          <w:rFonts w:hint="eastAsia" w:ascii="方正小标宋简体" w:hAnsi="仿宋" w:eastAsia="方正小标宋简体" w:cs="方正仿宋简体"/>
          <w:sz w:val="32"/>
          <w:szCs w:val="32"/>
        </w:rPr>
      </w:pPr>
      <w:r>
        <w:rPr>
          <w:rFonts w:hint="eastAsia" w:ascii="方正小标宋简体" w:hAnsi="仿宋" w:eastAsia="方正小标宋简体" w:cs="方正仿宋简体"/>
          <w:sz w:val="32"/>
          <w:szCs w:val="32"/>
        </w:rPr>
        <w:t>（202</w:t>
      </w:r>
      <w:r>
        <w:rPr>
          <w:rFonts w:hint="eastAsia" w:ascii="方正小标宋简体" w:hAnsi="仿宋" w:eastAsia="方正小标宋简体" w:cs="方正仿宋简体"/>
          <w:sz w:val="32"/>
          <w:szCs w:val="32"/>
          <w:lang w:val="en-US" w:eastAsia="zh-CN"/>
        </w:rPr>
        <w:t>4</w:t>
      </w:r>
      <w:r>
        <w:rPr>
          <w:rFonts w:hint="eastAsia" w:ascii="方正小标宋简体" w:hAnsi="仿宋" w:eastAsia="方正小标宋简体" w:cs="方正仿宋简体"/>
          <w:sz w:val="32"/>
          <w:szCs w:val="32"/>
        </w:rPr>
        <w:t>年）</w:t>
      </w:r>
    </w:p>
    <w:p>
      <w:pPr>
        <w:snapToGrid w:val="0"/>
        <w:spacing w:line="440" w:lineRule="exact"/>
        <w:rPr>
          <w:rFonts w:eastAsia="黑体"/>
          <w:color w:val="000000"/>
          <w:szCs w:val="21"/>
        </w:rPr>
      </w:pPr>
      <w:r>
        <w:rPr>
          <w:rFonts w:hint="eastAsia" w:eastAsia="黑体"/>
          <w:color w:val="000000"/>
          <w:szCs w:val="21"/>
          <w:lang w:val="en-US" w:eastAsia="zh-CN"/>
        </w:rPr>
        <w:t>1.</w:t>
      </w:r>
      <w:r>
        <w:rPr>
          <w:rFonts w:eastAsia="黑体"/>
          <w:color w:val="000000"/>
          <w:szCs w:val="21"/>
        </w:rPr>
        <w:t xml:space="preserve"> 抽样方法</w:t>
      </w:r>
    </w:p>
    <w:p>
      <w:pPr>
        <w:snapToGrid w:val="0"/>
        <w:spacing w:line="440" w:lineRule="exact"/>
        <w:ind w:firstLine="420" w:firstLineChars="200"/>
        <w:rPr>
          <w:color w:val="000000"/>
          <w:szCs w:val="21"/>
        </w:rPr>
      </w:pPr>
      <w:r>
        <w:rPr>
          <w:rFonts w:hAnsi="宋体"/>
          <w:color w:val="000000"/>
          <w:szCs w:val="21"/>
        </w:rPr>
        <w:t>以随机抽样的方式在被抽样生产者、销售者的待销产品中抽取。</w:t>
      </w:r>
    </w:p>
    <w:p>
      <w:pPr>
        <w:snapToGrid w:val="0"/>
        <w:spacing w:line="440" w:lineRule="exact"/>
        <w:ind w:firstLine="420" w:firstLineChars="200"/>
        <w:rPr>
          <w:rFonts w:hAnsi="宋体"/>
          <w:color w:val="000000"/>
          <w:szCs w:val="21"/>
        </w:rPr>
      </w:pPr>
      <w:r>
        <w:rPr>
          <w:rFonts w:hint="eastAsia" w:hAnsi="宋体"/>
          <w:color w:val="000000"/>
          <w:szCs w:val="21"/>
        </w:rPr>
        <w:t>随机数一般可使用随机数表等方法产生。</w:t>
      </w:r>
      <w:bookmarkStart w:id="0" w:name="_GoBack"/>
      <w:bookmarkEnd w:id="0"/>
    </w:p>
    <w:p>
      <w:pPr>
        <w:snapToGrid w:val="0"/>
        <w:spacing w:line="440" w:lineRule="exact"/>
        <w:ind w:firstLine="420" w:firstLineChars="200"/>
        <w:rPr>
          <w:rFonts w:hint="eastAsia" w:hAnsi="宋体"/>
          <w:color w:val="000000"/>
          <w:szCs w:val="21"/>
          <w:lang w:val="en-US" w:eastAsia="zh-CN"/>
        </w:rPr>
      </w:pPr>
      <w:r>
        <w:rPr>
          <w:rFonts w:hint="eastAsia" w:hAnsi="宋体"/>
          <w:color w:val="000000"/>
          <w:szCs w:val="21"/>
        </w:rPr>
        <w:t>执行GB 811-2022的摩托车、电动自行车头盔，每批次产品抽取样品 4顶，其中2顶作为检验样品，2顶作为备用样品</w:t>
      </w:r>
      <w:r>
        <w:rPr>
          <w:rFonts w:hint="eastAsia" w:hAnsi="宋体"/>
          <w:color w:val="000000"/>
          <w:szCs w:val="21"/>
          <w:lang w:eastAsia="zh-CN"/>
        </w:rPr>
        <w:t>；</w:t>
      </w:r>
      <w:r>
        <w:rPr>
          <w:rFonts w:hint="eastAsia" w:hAnsi="宋体"/>
          <w:color w:val="000000"/>
          <w:szCs w:val="21"/>
        </w:rPr>
        <w:t>执行GB 811-20</w:t>
      </w:r>
      <w:r>
        <w:rPr>
          <w:rFonts w:hint="eastAsia" w:hAnsi="宋体"/>
          <w:color w:val="000000"/>
          <w:szCs w:val="21"/>
          <w:lang w:val="en-US" w:eastAsia="zh-CN"/>
        </w:rPr>
        <w:t>10</w:t>
      </w:r>
      <w:r>
        <w:rPr>
          <w:rFonts w:hint="eastAsia" w:hAnsi="宋体"/>
          <w:color w:val="000000"/>
          <w:szCs w:val="21"/>
        </w:rPr>
        <w:t>标准的摩托车头盔，每批次产品抽取样品</w:t>
      </w:r>
      <w:r>
        <w:rPr>
          <w:rFonts w:hint="eastAsia" w:hAnsi="宋体"/>
          <w:color w:val="000000"/>
          <w:szCs w:val="21"/>
          <w:lang w:val="en-US" w:eastAsia="zh-CN"/>
        </w:rPr>
        <w:t>2</w:t>
      </w:r>
      <w:r>
        <w:rPr>
          <w:rFonts w:hint="eastAsia" w:hAnsi="宋体"/>
          <w:color w:val="000000"/>
          <w:szCs w:val="21"/>
        </w:rPr>
        <w:t>顶，其</w:t>
      </w:r>
      <w:r>
        <w:rPr>
          <w:rFonts w:hint="eastAsia" w:hAnsi="宋体"/>
          <w:color w:val="000000"/>
          <w:szCs w:val="21"/>
          <w:lang w:val="en-US" w:eastAsia="zh-CN"/>
        </w:rPr>
        <w:t>中</w:t>
      </w:r>
      <w:r>
        <w:rPr>
          <w:rFonts w:hint="eastAsia" w:hAnsi="宋体"/>
          <w:color w:val="000000"/>
          <w:szCs w:val="21"/>
        </w:rPr>
        <w:t>1顶作为检验样品</w:t>
      </w:r>
      <w:r>
        <w:rPr>
          <w:rFonts w:hint="eastAsia" w:hAnsi="宋体"/>
          <w:color w:val="000000"/>
          <w:szCs w:val="21"/>
          <w:lang w:eastAsia="zh-CN"/>
        </w:rPr>
        <w:t>，</w:t>
      </w:r>
      <w:r>
        <w:rPr>
          <w:rFonts w:hint="eastAsia" w:hAnsi="宋体"/>
          <w:color w:val="000000"/>
          <w:szCs w:val="21"/>
        </w:rPr>
        <w:t>1顶作为备用样品。</w:t>
      </w:r>
    </w:p>
    <w:p>
      <w:pPr>
        <w:numPr>
          <w:ilvl w:val="0"/>
          <w:numId w:val="1"/>
        </w:numPr>
        <w:snapToGrid w:val="0"/>
        <w:spacing w:line="440" w:lineRule="exact"/>
        <w:rPr>
          <w:rFonts w:hint="eastAsia" w:hAnsi="宋体"/>
          <w:color w:val="000000"/>
          <w:szCs w:val="21"/>
          <w:lang w:val="en-US" w:eastAsia="zh-CN"/>
        </w:rPr>
      </w:pPr>
      <w:r>
        <w:rPr>
          <w:rFonts w:eastAsia="黑体"/>
          <w:color w:val="000000"/>
          <w:szCs w:val="21"/>
        </w:rPr>
        <w:t>检验依据</w:t>
      </w:r>
    </w:p>
    <w:p>
      <w:pPr>
        <w:jc w:val="center"/>
        <w:rPr>
          <w:rFonts w:hint="eastAsia" w:eastAsia="宋体"/>
          <w:color w:val="000000"/>
          <w:szCs w:val="21"/>
          <w:lang w:val="en-US" w:eastAsia="zh-CN"/>
        </w:rPr>
      </w:pPr>
      <w:r>
        <w:rPr>
          <w:color w:val="000000"/>
          <w:szCs w:val="21"/>
        </w:rPr>
        <w:t>表</w:t>
      </w:r>
      <w:r>
        <w:rPr>
          <w:rFonts w:hint="eastAsia"/>
          <w:color w:val="000000"/>
          <w:szCs w:val="21"/>
        </w:rPr>
        <w:t xml:space="preserve">1  </w:t>
      </w:r>
      <w:r>
        <w:rPr>
          <w:rFonts w:hint="default"/>
        </w:rPr>
        <w:t>摩托车乘员头盔</w:t>
      </w:r>
      <w:r>
        <w:rPr>
          <w:rFonts w:hint="eastAsia"/>
          <w:lang w:eastAsia="zh-CN"/>
        </w:rPr>
        <w:t>（</w:t>
      </w:r>
      <w:r>
        <w:t>GB 811-2010</w:t>
      </w:r>
      <w:r>
        <w:rPr>
          <w:rFonts w:hint="eastAsia"/>
          <w:lang w:eastAsia="zh-CN"/>
        </w:rPr>
        <w:t>）</w:t>
      </w:r>
    </w:p>
    <w:tbl>
      <w:tblPr>
        <w:tblStyle w:val="7"/>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560"/>
        <w:gridCol w:w="4253"/>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816" w:type="dxa"/>
            <w:noWrap w:val="0"/>
            <w:vAlign w:val="center"/>
          </w:tcPr>
          <w:p>
            <w:pPr>
              <w:jc w:val="center"/>
            </w:pPr>
            <w:r>
              <w:t>序号</w:t>
            </w:r>
          </w:p>
        </w:tc>
        <w:tc>
          <w:tcPr>
            <w:tcW w:w="5813" w:type="dxa"/>
            <w:gridSpan w:val="2"/>
            <w:noWrap w:val="0"/>
            <w:vAlign w:val="center"/>
          </w:tcPr>
          <w:p>
            <w:pPr>
              <w:jc w:val="center"/>
            </w:pPr>
            <w:r>
              <w:t>检验项目</w:t>
            </w:r>
          </w:p>
        </w:tc>
        <w:tc>
          <w:tcPr>
            <w:tcW w:w="2551" w:type="dxa"/>
            <w:noWrap w:val="0"/>
            <w:vAlign w:val="center"/>
          </w:tcPr>
          <w:p>
            <w:pPr>
              <w:jc w:val="center"/>
            </w:pPr>
            <w: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816" w:type="dxa"/>
            <w:noWrap w:val="0"/>
            <w:vAlign w:val="center"/>
          </w:tcPr>
          <w:p>
            <w:pPr>
              <w:jc w:val="center"/>
            </w:pPr>
            <w:r>
              <w:t>1</w:t>
            </w:r>
          </w:p>
        </w:tc>
        <w:tc>
          <w:tcPr>
            <w:tcW w:w="1560" w:type="dxa"/>
            <w:noWrap w:val="0"/>
            <w:vAlign w:val="center"/>
          </w:tcPr>
          <w:p>
            <w:pPr>
              <w:jc w:val="center"/>
            </w:pPr>
            <w:r>
              <w:t>结构</w:t>
            </w:r>
          </w:p>
        </w:tc>
        <w:tc>
          <w:tcPr>
            <w:tcW w:w="4253" w:type="dxa"/>
            <w:noWrap w:val="0"/>
            <w:vAlign w:val="center"/>
          </w:tcPr>
          <w:p>
            <w:pPr>
              <w:jc w:val="center"/>
            </w:pPr>
            <w:r>
              <w:t>佩戴装置</w:t>
            </w:r>
          </w:p>
        </w:tc>
        <w:tc>
          <w:tcPr>
            <w:tcW w:w="2551" w:type="dxa"/>
            <w:noWrap w:val="0"/>
            <w:vAlign w:val="center"/>
          </w:tcPr>
          <w:p>
            <w:pPr>
              <w:jc w:val="center"/>
              <w:rPr>
                <w:rFonts w:hint="default"/>
                <w:lang w:val="en-US" w:eastAsia="zh-CN"/>
              </w:rPr>
            </w:pPr>
            <w:r>
              <w:t>GB 811-2010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6" w:type="dxa"/>
            <w:noWrap w:val="0"/>
            <w:vAlign w:val="center"/>
          </w:tcPr>
          <w:p>
            <w:pPr>
              <w:jc w:val="center"/>
            </w:pPr>
            <w:r>
              <w:t>2</w:t>
            </w:r>
          </w:p>
        </w:tc>
        <w:tc>
          <w:tcPr>
            <w:tcW w:w="1560" w:type="dxa"/>
            <w:vMerge w:val="restart"/>
            <w:noWrap w:val="0"/>
            <w:vAlign w:val="center"/>
          </w:tcPr>
          <w:p>
            <w:pPr>
              <w:jc w:val="center"/>
            </w:pPr>
            <w:r>
              <w:t>性能</w:t>
            </w:r>
          </w:p>
        </w:tc>
        <w:tc>
          <w:tcPr>
            <w:tcW w:w="4253" w:type="dxa"/>
            <w:noWrap w:val="0"/>
            <w:vAlign w:val="center"/>
          </w:tcPr>
          <w:p>
            <w:pPr>
              <w:jc w:val="center"/>
            </w:pPr>
            <w:r>
              <w:t>头盔视野</w:t>
            </w:r>
          </w:p>
        </w:tc>
        <w:tc>
          <w:tcPr>
            <w:tcW w:w="2551" w:type="dxa"/>
            <w:noWrap w:val="0"/>
            <w:vAlign w:val="center"/>
          </w:tcPr>
          <w:p>
            <w:pPr>
              <w:jc w:val="center"/>
            </w:pPr>
            <w:r>
              <w:t>GB 811-2010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6" w:type="dxa"/>
            <w:noWrap w:val="0"/>
            <w:vAlign w:val="center"/>
          </w:tcPr>
          <w:p>
            <w:pPr>
              <w:jc w:val="center"/>
            </w:pPr>
            <w:r>
              <w:t>3</w:t>
            </w:r>
          </w:p>
        </w:tc>
        <w:tc>
          <w:tcPr>
            <w:tcW w:w="1560" w:type="dxa"/>
            <w:vMerge w:val="continue"/>
            <w:noWrap w:val="0"/>
            <w:vAlign w:val="center"/>
          </w:tcPr>
          <w:p>
            <w:pPr>
              <w:jc w:val="center"/>
            </w:pPr>
          </w:p>
        </w:tc>
        <w:tc>
          <w:tcPr>
            <w:tcW w:w="4253" w:type="dxa"/>
            <w:noWrap w:val="0"/>
            <w:vAlign w:val="center"/>
          </w:tcPr>
          <w:p>
            <w:pPr>
              <w:jc w:val="center"/>
            </w:pPr>
            <w:r>
              <w:t>头盔护目镜</w:t>
            </w:r>
          </w:p>
        </w:tc>
        <w:tc>
          <w:tcPr>
            <w:tcW w:w="2551" w:type="dxa"/>
            <w:noWrap w:val="0"/>
            <w:vAlign w:val="center"/>
          </w:tcPr>
          <w:p>
            <w:pPr>
              <w:jc w:val="center"/>
            </w:pPr>
            <w:r>
              <w:t>GB 811-2010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6" w:type="dxa"/>
            <w:noWrap w:val="0"/>
            <w:vAlign w:val="center"/>
          </w:tcPr>
          <w:p>
            <w:pPr>
              <w:jc w:val="center"/>
            </w:pPr>
            <w:r>
              <w:t>4</w:t>
            </w:r>
          </w:p>
        </w:tc>
        <w:tc>
          <w:tcPr>
            <w:tcW w:w="1560" w:type="dxa"/>
            <w:vMerge w:val="continue"/>
            <w:noWrap w:val="0"/>
            <w:vAlign w:val="center"/>
          </w:tcPr>
          <w:p>
            <w:pPr>
              <w:jc w:val="center"/>
            </w:pPr>
          </w:p>
        </w:tc>
        <w:tc>
          <w:tcPr>
            <w:tcW w:w="4253" w:type="dxa"/>
            <w:noWrap w:val="0"/>
            <w:vAlign w:val="center"/>
          </w:tcPr>
          <w:p>
            <w:pPr>
              <w:jc w:val="center"/>
            </w:pPr>
            <w:r>
              <w:t>固定装置稳定性</w:t>
            </w:r>
          </w:p>
        </w:tc>
        <w:tc>
          <w:tcPr>
            <w:tcW w:w="2551" w:type="dxa"/>
            <w:noWrap w:val="0"/>
            <w:vAlign w:val="center"/>
          </w:tcPr>
          <w:p>
            <w:pPr>
              <w:jc w:val="center"/>
            </w:pPr>
            <w:r>
              <w:t>GB 811-2010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6" w:type="dxa"/>
            <w:noWrap w:val="0"/>
            <w:vAlign w:val="center"/>
          </w:tcPr>
          <w:p>
            <w:pPr>
              <w:jc w:val="center"/>
            </w:pPr>
            <w:r>
              <w:t>5</w:t>
            </w:r>
          </w:p>
        </w:tc>
        <w:tc>
          <w:tcPr>
            <w:tcW w:w="1560" w:type="dxa"/>
            <w:vMerge w:val="continue"/>
            <w:noWrap w:val="0"/>
            <w:vAlign w:val="center"/>
          </w:tcPr>
          <w:p>
            <w:pPr>
              <w:jc w:val="center"/>
            </w:pPr>
          </w:p>
        </w:tc>
        <w:tc>
          <w:tcPr>
            <w:tcW w:w="4253" w:type="dxa"/>
            <w:noWrap w:val="0"/>
            <w:vAlign w:val="center"/>
          </w:tcPr>
          <w:p>
            <w:pPr>
              <w:jc w:val="center"/>
            </w:pPr>
            <w:r>
              <w:t>头盔佩戴装置强度性能</w:t>
            </w:r>
          </w:p>
        </w:tc>
        <w:tc>
          <w:tcPr>
            <w:tcW w:w="2551" w:type="dxa"/>
            <w:noWrap w:val="0"/>
            <w:vAlign w:val="center"/>
          </w:tcPr>
          <w:p>
            <w:pPr>
              <w:jc w:val="center"/>
            </w:pPr>
            <w:r>
              <w:t>GB 811-2010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6" w:type="dxa"/>
            <w:noWrap w:val="0"/>
            <w:vAlign w:val="center"/>
          </w:tcPr>
          <w:p>
            <w:pPr>
              <w:jc w:val="center"/>
            </w:pPr>
            <w:r>
              <w:t>6</w:t>
            </w:r>
          </w:p>
        </w:tc>
        <w:tc>
          <w:tcPr>
            <w:tcW w:w="1560" w:type="dxa"/>
            <w:vMerge w:val="continue"/>
            <w:noWrap w:val="0"/>
            <w:vAlign w:val="center"/>
          </w:tcPr>
          <w:p>
            <w:pPr>
              <w:jc w:val="center"/>
            </w:pPr>
          </w:p>
        </w:tc>
        <w:tc>
          <w:tcPr>
            <w:tcW w:w="4253" w:type="dxa"/>
            <w:noWrap w:val="0"/>
            <w:vAlign w:val="center"/>
          </w:tcPr>
          <w:p>
            <w:pPr>
              <w:jc w:val="center"/>
              <w:rPr>
                <w:rFonts w:hint="eastAsia" w:eastAsia="宋体"/>
                <w:lang w:val="en-US" w:eastAsia="zh-CN"/>
              </w:rPr>
            </w:pPr>
            <w:r>
              <w:t>头盔吸收碰撞能量性能（低温）</w:t>
            </w:r>
            <w:r>
              <w:rPr>
                <w:rFonts w:hint="eastAsia"/>
                <w:vertAlign w:val="superscript"/>
                <w:lang w:val="en-US" w:eastAsia="zh-CN"/>
              </w:rPr>
              <w:t>1</w:t>
            </w:r>
          </w:p>
        </w:tc>
        <w:tc>
          <w:tcPr>
            <w:tcW w:w="2551" w:type="dxa"/>
            <w:noWrap w:val="0"/>
            <w:vAlign w:val="center"/>
          </w:tcPr>
          <w:p>
            <w:pPr>
              <w:jc w:val="center"/>
            </w:pPr>
            <w:r>
              <w:t>GB 811-2010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6" w:type="dxa"/>
            <w:noWrap w:val="0"/>
            <w:vAlign w:val="center"/>
          </w:tcPr>
          <w:p>
            <w:pPr>
              <w:jc w:val="center"/>
            </w:pPr>
            <w:r>
              <w:t>7</w:t>
            </w:r>
          </w:p>
        </w:tc>
        <w:tc>
          <w:tcPr>
            <w:tcW w:w="1560" w:type="dxa"/>
            <w:vMerge w:val="continue"/>
            <w:noWrap w:val="0"/>
            <w:vAlign w:val="center"/>
          </w:tcPr>
          <w:p>
            <w:pPr>
              <w:jc w:val="center"/>
            </w:pPr>
          </w:p>
        </w:tc>
        <w:tc>
          <w:tcPr>
            <w:tcW w:w="4253" w:type="dxa"/>
            <w:noWrap w:val="0"/>
            <w:vAlign w:val="center"/>
          </w:tcPr>
          <w:p>
            <w:pPr>
              <w:jc w:val="center"/>
              <w:rPr>
                <w:rFonts w:hint="default" w:eastAsia="宋体"/>
                <w:lang w:val="en-US" w:eastAsia="zh-CN"/>
              </w:rPr>
            </w:pPr>
            <w:r>
              <w:t>头盔耐穿透性能（低温）</w:t>
            </w:r>
            <w:r>
              <w:rPr>
                <w:rFonts w:hint="eastAsia"/>
                <w:vertAlign w:val="superscript"/>
                <w:lang w:val="en-US" w:eastAsia="zh-CN"/>
              </w:rPr>
              <w:t>1</w:t>
            </w:r>
          </w:p>
        </w:tc>
        <w:tc>
          <w:tcPr>
            <w:tcW w:w="2551" w:type="dxa"/>
            <w:noWrap w:val="0"/>
            <w:vAlign w:val="center"/>
          </w:tcPr>
          <w:p>
            <w:pPr>
              <w:jc w:val="center"/>
              <w:rPr>
                <w:lang w:val="en-US" w:eastAsia="zh-CN"/>
              </w:rPr>
            </w:pPr>
            <w:r>
              <w:t>GB 811-2010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9180" w:type="dxa"/>
            <w:gridSpan w:val="4"/>
            <w:noWrap w:val="0"/>
            <w:vAlign w:val="center"/>
          </w:tcPr>
          <w:p>
            <w:pPr>
              <w:jc w:val="left"/>
            </w:pPr>
            <w:r>
              <w:t>注</w:t>
            </w:r>
            <w:r>
              <w:rPr>
                <w:rFonts w:hint="eastAsia"/>
                <w:lang w:eastAsia="zh-CN"/>
              </w:rPr>
              <w:t>：</w:t>
            </w:r>
            <w:r>
              <w:rPr>
                <w:rFonts w:hint="eastAsia"/>
                <w:lang w:val="en-US" w:eastAsia="zh-CN"/>
              </w:rPr>
              <w:t>1.</w:t>
            </w:r>
            <w:r>
              <w:t>样品在实施头盔吸收碰撞能量性能（低温）、头盔耐穿透性能（低温）项目时应符合GB 811-2010 4.1.2 c)的要求。</w:t>
            </w:r>
          </w:p>
        </w:tc>
      </w:tr>
    </w:tbl>
    <w:p>
      <w:pPr>
        <w:snapToGrid w:val="0"/>
        <w:spacing w:line="440" w:lineRule="exact"/>
        <w:jc w:val="both"/>
        <w:rPr>
          <w:rFonts w:hint="eastAsia" w:hAnsi="宋体"/>
          <w:color w:val="000000"/>
          <w:szCs w:val="21"/>
        </w:rPr>
      </w:pPr>
    </w:p>
    <w:p>
      <w:pPr>
        <w:snapToGrid w:val="0"/>
        <w:spacing w:line="440" w:lineRule="exact"/>
        <w:jc w:val="center"/>
        <w:rPr>
          <w:rFonts w:hint="eastAsia"/>
          <w:lang w:eastAsia="zh-CN"/>
        </w:rPr>
      </w:pPr>
      <w:r>
        <w:rPr>
          <w:rFonts w:hint="eastAsia"/>
          <w:lang w:val="en-US" w:eastAsia="zh-CN"/>
        </w:rPr>
        <w:t>表2</w:t>
      </w:r>
      <w:r>
        <w:rPr>
          <w:rFonts w:hint="default"/>
        </w:rPr>
        <w:t>摩托车、电动自行车乘员头盔</w:t>
      </w:r>
      <w:r>
        <w:rPr>
          <w:rFonts w:hint="eastAsia"/>
          <w:lang w:eastAsia="zh-CN"/>
        </w:rPr>
        <w:t>（</w:t>
      </w:r>
      <w:r>
        <w:t>GB 811-20</w:t>
      </w:r>
      <w:r>
        <w:rPr>
          <w:rFonts w:hint="eastAsia"/>
          <w:lang w:val="en-US" w:eastAsia="zh-CN"/>
        </w:rPr>
        <w:t>22</w:t>
      </w:r>
      <w:r>
        <w:rPr>
          <w:rFonts w:hint="eastAsia"/>
          <w:lang w:eastAsia="zh-CN"/>
        </w:rPr>
        <w:t>）</w:t>
      </w:r>
    </w:p>
    <w:tbl>
      <w:tblPr>
        <w:tblStyle w:val="7"/>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560"/>
        <w:gridCol w:w="4253"/>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816" w:type="dxa"/>
            <w:noWrap w:val="0"/>
            <w:vAlign w:val="center"/>
          </w:tcPr>
          <w:p>
            <w:pPr>
              <w:jc w:val="center"/>
            </w:pPr>
            <w:r>
              <w:t>序号</w:t>
            </w:r>
          </w:p>
        </w:tc>
        <w:tc>
          <w:tcPr>
            <w:tcW w:w="5813" w:type="dxa"/>
            <w:gridSpan w:val="2"/>
            <w:noWrap w:val="0"/>
            <w:vAlign w:val="center"/>
          </w:tcPr>
          <w:p>
            <w:pPr>
              <w:jc w:val="center"/>
            </w:pPr>
            <w:r>
              <w:t>检验项目</w:t>
            </w:r>
          </w:p>
        </w:tc>
        <w:tc>
          <w:tcPr>
            <w:tcW w:w="2551" w:type="dxa"/>
            <w:noWrap w:val="0"/>
            <w:vAlign w:val="center"/>
          </w:tcPr>
          <w:p>
            <w:pPr>
              <w:jc w:val="center"/>
            </w:pPr>
            <w: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816" w:type="dxa"/>
            <w:vMerge w:val="restart"/>
            <w:noWrap w:val="0"/>
            <w:vAlign w:val="center"/>
          </w:tcPr>
          <w:p>
            <w:pPr>
              <w:jc w:val="center"/>
            </w:pPr>
            <w:r>
              <w:t>1</w:t>
            </w:r>
          </w:p>
        </w:tc>
        <w:tc>
          <w:tcPr>
            <w:tcW w:w="1560" w:type="dxa"/>
            <w:vMerge w:val="restart"/>
            <w:noWrap w:val="0"/>
            <w:vAlign w:val="center"/>
          </w:tcPr>
          <w:p>
            <w:pPr>
              <w:jc w:val="center"/>
            </w:pPr>
            <w:r>
              <w:t>结构</w:t>
            </w:r>
          </w:p>
        </w:tc>
        <w:tc>
          <w:tcPr>
            <w:tcW w:w="4253" w:type="dxa"/>
            <w:noWrap w:val="0"/>
            <w:vAlign w:val="top"/>
          </w:tcPr>
          <w:p>
            <w:pPr>
              <w:snapToGrid w:val="0"/>
              <w:spacing w:line="300" w:lineRule="exact"/>
              <w:jc w:val="center"/>
              <w:rPr>
                <w:rFonts w:hint="eastAsia" w:eastAsia="宋体"/>
                <w:lang w:val="en-US" w:eastAsia="zh-CN"/>
              </w:rPr>
            </w:pPr>
            <w:r>
              <w:rPr>
                <w:color w:val="000000"/>
                <w:szCs w:val="21"/>
              </w:rPr>
              <w:t>壳体</w:t>
            </w:r>
            <w:r>
              <w:rPr>
                <w:rFonts w:hint="eastAsia"/>
                <w:color w:val="000000"/>
                <w:szCs w:val="21"/>
                <w:vertAlign w:val="superscript"/>
                <w:lang w:val="en-US" w:eastAsia="zh-CN"/>
              </w:rPr>
              <w:t>1</w:t>
            </w:r>
          </w:p>
        </w:tc>
        <w:tc>
          <w:tcPr>
            <w:tcW w:w="2551" w:type="dxa"/>
            <w:noWrap w:val="0"/>
            <w:vAlign w:val="center"/>
          </w:tcPr>
          <w:p>
            <w:pPr>
              <w:jc w:val="center"/>
              <w:rPr>
                <w:rFonts w:hint="default"/>
                <w:lang w:val="en-US" w:eastAsia="zh-CN"/>
              </w:rPr>
            </w:pPr>
            <w:r>
              <w:t>GB 811-20</w:t>
            </w:r>
            <w:r>
              <w:rPr>
                <w:rFonts w:hint="eastAsia"/>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trPr>
        <w:tc>
          <w:tcPr>
            <w:tcW w:w="816" w:type="dxa"/>
            <w:vMerge w:val="continue"/>
            <w:noWrap w:val="0"/>
            <w:vAlign w:val="center"/>
          </w:tcPr>
          <w:p>
            <w:pPr>
              <w:jc w:val="center"/>
            </w:pPr>
          </w:p>
        </w:tc>
        <w:tc>
          <w:tcPr>
            <w:tcW w:w="1560" w:type="dxa"/>
            <w:vMerge w:val="continue"/>
            <w:noWrap w:val="0"/>
            <w:vAlign w:val="center"/>
          </w:tcPr>
          <w:p>
            <w:pPr>
              <w:jc w:val="center"/>
            </w:pPr>
          </w:p>
        </w:tc>
        <w:tc>
          <w:tcPr>
            <w:tcW w:w="4253" w:type="dxa"/>
            <w:noWrap w:val="0"/>
            <w:vAlign w:val="top"/>
          </w:tcPr>
          <w:p>
            <w:pPr>
              <w:snapToGrid w:val="0"/>
              <w:spacing w:line="300" w:lineRule="exact"/>
              <w:jc w:val="center"/>
              <w:rPr>
                <w:rFonts w:hint="eastAsia" w:eastAsia="宋体"/>
                <w:lang w:val="en-US" w:eastAsia="zh-CN"/>
              </w:rPr>
            </w:pPr>
            <w:r>
              <w:rPr>
                <w:color w:val="000000"/>
                <w:szCs w:val="21"/>
              </w:rPr>
              <w:t>缓冲层</w:t>
            </w:r>
            <w:r>
              <w:rPr>
                <w:rFonts w:hint="eastAsia"/>
                <w:color w:val="000000"/>
                <w:szCs w:val="21"/>
                <w:vertAlign w:val="superscript"/>
                <w:lang w:val="en-US" w:eastAsia="zh-CN"/>
              </w:rPr>
              <w:t>2</w:t>
            </w:r>
          </w:p>
        </w:tc>
        <w:tc>
          <w:tcPr>
            <w:tcW w:w="2551" w:type="dxa"/>
            <w:noWrap w:val="0"/>
            <w:vAlign w:val="center"/>
          </w:tcPr>
          <w:p>
            <w:pPr>
              <w:jc w:val="center"/>
            </w:pPr>
            <w:r>
              <w:t>GB 811-20</w:t>
            </w:r>
            <w:r>
              <w:rPr>
                <w:rFonts w:hint="eastAsia"/>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816" w:type="dxa"/>
            <w:vMerge w:val="continue"/>
            <w:noWrap w:val="0"/>
            <w:vAlign w:val="center"/>
          </w:tcPr>
          <w:p>
            <w:pPr>
              <w:jc w:val="center"/>
            </w:pPr>
          </w:p>
        </w:tc>
        <w:tc>
          <w:tcPr>
            <w:tcW w:w="1560" w:type="dxa"/>
            <w:vMerge w:val="continue"/>
            <w:noWrap w:val="0"/>
            <w:vAlign w:val="center"/>
          </w:tcPr>
          <w:p>
            <w:pPr>
              <w:jc w:val="center"/>
            </w:pPr>
          </w:p>
        </w:tc>
        <w:tc>
          <w:tcPr>
            <w:tcW w:w="4253" w:type="dxa"/>
            <w:noWrap w:val="0"/>
            <w:vAlign w:val="center"/>
          </w:tcPr>
          <w:p>
            <w:pPr>
              <w:jc w:val="center"/>
            </w:pPr>
            <w:r>
              <w:t>佩戴装置</w:t>
            </w:r>
          </w:p>
        </w:tc>
        <w:tc>
          <w:tcPr>
            <w:tcW w:w="2551" w:type="dxa"/>
            <w:noWrap w:val="0"/>
            <w:vAlign w:val="center"/>
          </w:tcPr>
          <w:p>
            <w:pPr>
              <w:jc w:val="center"/>
            </w:pPr>
            <w:r>
              <w:t>GB 811-20</w:t>
            </w:r>
            <w:r>
              <w:rPr>
                <w:rFonts w:hint="eastAsia"/>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6" w:type="dxa"/>
            <w:noWrap w:val="0"/>
            <w:vAlign w:val="center"/>
          </w:tcPr>
          <w:p>
            <w:pPr>
              <w:jc w:val="center"/>
            </w:pPr>
            <w:r>
              <w:t>2</w:t>
            </w:r>
          </w:p>
        </w:tc>
        <w:tc>
          <w:tcPr>
            <w:tcW w:w="1560" w:type="dxa"/>
            <w:vMerge w:val="restart"/>
            <w:noWrap w:val="0"/>
            <w:vAlign w:val="center"/>
          </w:tcPr>
          <w:p>
            <w:pPr>
              <w:jc w:val="center"/>
            </w:pPr>
            <w:r>
              <w:t>性能</w:t>
            </w:r>
          </w:p>
        </w:tc>
        <w:tc>
          <w:tcPr>
            <w:tcW w:w="4253" w:type="dxa"/>
            <w:noWrap w:val="0"/>
            <w:vAlign w:val="center"/>
          </w:tcPr>
          <w:p>
            <w:pPr>
              <w:jc w:val="center"/>
            </w:pPr>
            <w:r>
              <w:t>视野</w:t>
            </w:r>
          </w:p>
        </w:tc>
        <w:tc>
          <w:tcPr>
            <w:tcW w:w="2551" w:type="dxa"/>
            <w:noWrap w:val="0"/>
            <w:vAlign w:val="center"/>
          </w:tcPr>
          <w:p>
            <w:pPr>
              <w:jc w:val="center"/>
            </w:pPr>
            <w:r>
              <w:t>GB 811-20</w:t>
            </w:r>
            <w:r>
              <w:rPr>
                <w:rFonts w:hint="eastAsia"/>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816" w:type="dxa"/>
            <w:noWrap w:val="0"/>
            <w:vAlign w:val="center"/>
          </w:tcPr>
          <w:p>
            <w:pPr>
              <w:jc w:val="center"/>
            </w:pPr>
            <w:r>
              <w:t>3</w:t>
            </w:r>
          </w:p>
        </w:tc>
        <w:tc>
          <w:tcPr>
            <w:tcW w:w="1560" w:type="dxa"/>
            <w:vMerge w:val="continue"/>
            <w:noWrap w:val="0"/>
            <w:vAlign w:val="center"/>
          </w:tcPr>
          <w:p>
            <w:pPr>
              <w:jc w:val="center"/>
            </w:pPr>
          </w:p>
        </w:tc>
        <w:tc>
          <w:tcPr>
            <w:tcW w:w="4253" w:type="dxa"/>
            <w:noWrap w:val="0"/>
            <w:vAlign w:val="center"/>
          </w:tcPr>
          <w:p>
            <w:pPr>
              <w:jc w:val="center"/>
            </w:pPr>
            <w:r>
              <w:t>护目镜</w:t>
            </w:r>
          </w:p>
        </w:tc>
        <w:tc>
          <w:tcPr>
            <w:tcW w:w="2551" w:type="dxa"/>
            <w:noWrap w:val="0"/>
            <w:vAlign w:val="center"/>
          </w:tcPr>
          <w:p>
            <w:pPr>
              <w:jc w:val="center"/>
            </w:pPr>
            <w:r>
              <w:t>GB 811-20</w:t>
            </w:r>
            <w:r>
              <w:rPr>
                <w:rFonts w:hint="eastAsia"/>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trPr>
        <w:tc>
          <w:tcPr>
            <w:tcW w:w="816" w:type="dxa"/>
            <w:noWrap w:val="0"/>
            <w:vAlign w:val="center"/>
          </w:tcPr>
          <w:p>
            <w:pPr>
              <w:jc w:val="center"/>
            </w:pPr>
            <w:r>
              <w:t>4</w:t>
            </w:r>
          </w:p>
        </w:tc>
        <w:tc>
          <w:tcPr>
            <w:tcW w:w="1560" w:type="dxa"/>
            <w:vMerge w:val="continue"/>
            <w:noWrap w:val="0"/>
            <w:vAlign w:val="center"/>
          </w:tcPr>
          <w:p>
            <w:pPr>
              <w:jc w:val="center"/>
            </w:pPr>
          </w:p>
        </w:tc>
        <w:tc>
          <w:tcPr>
            <w:tcW w:w="4253" w:type="dxa"/>
            <w:noWrap w:val="0"/>
            <w:vAlign w:val="center"/>
          </w:tcPr>
          <w:p>
            <w:pPr>
              <w:keepNext w:val="0"/>
              <w:keepLines w:val="0"/>
              <w:widowControl/>
              <w:suppressLineNumbers w:val="0"/>
              <w:jc w:val="center"/>
              <w:rPr>
                <w:rFonts w:hint="default" w:eastAsia="宋体"/>
                <w:lang w:val="en-US" w:eastAsia="zh-CN"/>
              </w:rPr>
            </w:pPr>
            <w:r>
              <w:rPr>
                <w:rFonts w:hint="eastAsia"/>
                <w:lang w:val="en-US" w:eastAsia="zh-CN"/>
              </w:rPr>
              <w:t>表面摩擦力</w:t>
            </w:r>
          </w:p>
        </w:tc>
        <w:tc>
          <w:tcPr>
            <w:tcW w:w="2551" w:type="dxa"/>
            <w:noWrap w:val="0"/>
            <w:vAlign w:val="center"/>
          </w:tcPr>
          <w:p>
            <w:pPr>
              <w:jc w:val="center"/>
            </w:pPr>
            <w:r>
              <w:t>GB 811-20</w:t>
            </w:r>
            <w:r>
              <w:rPr>
                <w:rFonts w:hint="eastAsia"/>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816" w:type="dxa"/>
            <w:noWrap w:val="0"/>
            <w:vAlign w:val="center"/>
          </w:tcPr>
          <w:p>
            <w:pPr>
              <w:jc w:val="center"/>
              <w:rPr>
                <w:rFonts w:hint="eastAsia" w:eastAsia="宋体"/>
                <w:lang w:val="en-US" w:eastAsia="zh-CN"/>
              </w:rPr>
            </w:pPr>
            <w:r>
              <w:rPr>
                <w:rFonts w:hint="eastAsia"/>
                <w:lang w:val="en-US" w:eastAsia="zh-CN"/>
              </w:rPr>
              <w:t>5</w:t>
            </w:r>
          </w:p>
        </w:tc>
        <w:tc>
          <w:tcPr>
            <w:tcW w:w="1560" w:type="dxa"/>
            <w:vMerge w:val="continue"/>
            <w:noWrap w:val="0"/>
            <w:vAlign w:val="center"/>
          </w:tcPr>
          <w:p>
            <w:pPr>
              <w:jc w:val="center"/>
            </w:pPr>
          </w:p>
        </w:tc>
        <w:tc>
          <w:tcPr>
            <w:tcW w:w="4253" w:type="dxa"/>
            <w:noWrap w:val="0"/>
            <w:vAlign w:val="center"/>
          </w:tcPr>
          <w:p>
            <w:pPr>
              <w:jc w:val="center"/>
            </w:pPr>
            <w:r>
              <w:t>固定装置稳定性</w:t>
            </w:r>
          </w:p>
        </w:tc>
        <w:tc>
          <w:tcPr>
            <w:tcW w:w="2551" w:type="dxa"/>
            <w:noWrap w:val="0"/>
            <w:vAlign w:val="center"/>
          </w:tcPr>
          <w:p>
            <w:pPr>
              <w:jc w:val="center"/>
            </w:pPr>
            <w:r>
              <w:t>GB 811-20</w:t>
            </w:r>
            <w:r>
              <w:rPr>
                <w:rFonts w:hint="eastAsia"/>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6" w:type="dxa"/>
            <w:noWrap w:val="0"/>
            <w:vAlign w:val="center"/>
          </w:tcPr>
          <w:p>
            <w:pPr>
              <w:jc w:val="center"/>
            </w:pPr>
            <w:r>
              <w:t>6</w:t>
            </w:r>
          </w:p>
        </w:tc>
        <w:tc>
          <w:tcPr>
            <w:tcW w:w="1560" w:type="dxa"/>
            <w:vMerge w:val="continue"/>
            <w:noWrap w:val="0"/>
            <w:vAlign w:val="center"/>
          </w:tcPr>
          <w:p>
            <w:pPr>
              <w:jc w:val="center"/>
            </w:pPr>
          </w:p>
        </w:tc>
        <w:tc>
          <w:tcPr>
            <w:tcW w:w="4253" w:type="dxa"/>
            <w:noWrap w:val="0"/>
            <w:vAlign w:val="center"/>
          </w:tcPr>
          <w:p>
            <w:pPr>
              <w:jc w:val="center"/>
            </w:pPr>
            <w:r>
              <w:t>佩戴装置强度</w:t>
            </w:r>
          </w:p>
        </w:tc>
        <w:tc>
          <w:tcPr>
            <w:tcW w:w="2551" w:type="dxa"/>
            <w:noWrap w:val="0"/>
            <w:vAlign w:val="center"/>
          </w:tcPr>
          <w:p>
            <w:pPr>
              <w:jc w:val="center"/>
            </w:pPr>
            <w:r>
              <w:t>GB 811-20</w:t>
            </w:r>
            <w:r>
              <w:rPr>
                <w:rFonts w:hint="eastAsia"/>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6" w:type="dxa"/>
            <w:noWrap w:val="0"/>
            <w:vAlign w:val="center"/>
          </w:tcPr>
          <w:p>
            <w:pPr>
              <w:jc w:val="center"/>
            </w:pPr>
            <w:r>
              <w:t>7</w:t>
            </w:r>
          </w:p>
        </w:tc>
        <w:tc>
          <w:tcPr>
            <w:tcW w:w="1560" w:type="dxa"/>
            <w:vMerge w:val="continue"/>
            <w:noWrap w:val="0"/>
            <w:vAlign w:val="center"/>
          </w:tcPr>
          <w:p>
            <w:pPr>
              <w:jc w:val="center"/>
            </w:pPr>
          </w:p>
        </w:tc>
        <w:tc>
          <w:tcPr>
            <w:tcW w:w="4253" w:type="dxa"/>
            <w:noWrap w:val="0"/>
            <w:vAlign w:val="center"/>
          </w:tcPr>
          <w:p>
            <w:pPr>
              <w:jc w:val="center"/>
            </w:pPr>
            <w:r>
              <w:t>吸收碰撞能量（低温）</w:t>
            </w:r>
          </w:p>
        </w:tc>
        <w:tc>
          <w:tcPr>
            <w:tcW w:w="2551" w:type="dxa"/>
            <w:noWrap w:val="0"/>
            <w:vAlign w:val="center"/>
          </w:tcPr>
          <w:p>
            <w:pPr>
              <w:jc w:val="center"/>
            </w:pPr>
            <w:r>
              <w:t>GB 811-20</w:t>
            </w:r>
            <w:r>
              <w:rPr>
                <w:rFonts w:hint="eastAsia"/>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6" w:type="dxa"/>
            <w:noWrap w:val="0"/>
            <w:vAlign w:val="center"/>
          </w:tcPr>
          <w:p>
            <w:pPr>
              <w:jc w:val="center"/>
              <w:rPr>
                <w:rFonts w:hint="eastAsia" w:eastAsia="宋体"/>
                <w:lang w:val="en-US" w:eastAsia="zh-CN"/>
              </w:rPr>
            </w:pPr>
            <w:r>
              <w:rPr>
                <w:rFonts w:hint="eastAsia"/>
                <w:lang w:val="en-US" w:eastAsia="zh-CN"/>
              </w:rPr>
              <w:t>8</w:t>
            </w:r>
          </w:p>
        </w:tc>
        <w:tc>
          <w:tcPr>
            <w:tcW w:w="1560" w:type="dxa"/>
            <w:vMerge w:val="continue"/>
            <w:noWrap w:val="0"/>
            <w:vAlign w:val="center"/>
          </w:tcPr>
          <w:p>
            <w:pPr>
              <w:jc w:val="center"/>
            </w:pPr>
          </w:p>
        </w:tc>
        <w:tc>
          <w:tcPr>
            <w:tcW w:w="4253" w:type="dxa"/>
            <w:noWrap w:val="0"/>
            <w:vAlign w:val="center"/>
          </w:tcPr>
          <w:p>
            <w:pPr>
              <w:jc w:val="center"/>
            </w:pPr>
            <w:r>
              <w:t>耐穿透（低温）</w:t>
            </w:r>
          </w:p>
        </w:tc>
        <w:tc>
          <w:tcPr>
            <w:tcW w:w="2551" w:type="dxa"/>
            <w:noWrap w:val="0"/>
            <w:vAlign w:val="center"/>
          </w:tcPr>
          <w:p>
            <w:pPr>
              <w:jc w:val="center"/>
              <w:rPr>
                <w:lang w:val="en-US" w:eastAsia="zh-CN"/>
              </w:rPr>
            </w:pPr>
            <w:r>
              <w:t>GB 811-20</w:t>
            </w:r>
            <w:r>
              <w:rPr>
                <w:rFonts w:hint="eastAsia"/>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9180" w:type="dxa"/>
            <w:gridSpan w:val="4"/>
            <w:noWrap w:val="0"/>
            <w:vAlign w:val="center"/>
          </w:tcPr>
          <w:p>
            <w:pPr>
              <w:jc w:val="left"/>
              <w:rPr>
                <w:color w:val="000000"/>
                <w:szCs w:val="21"/>
              </w:rPr>
            </w:pPr>
            <w:r>
              <w:t>注：</w:t>
            </w:r>
            <w:r>
              <w:rPr>
                <w:rFonts w:hint="eastAsia"/>
                <w:lang w:val="en-US" w:eastAsia="zh-CN"/>
              </w:rPr>
              <w:t>1.</w:t>
            </w:r>
            <w:r>
              <w:rPr>
                <w:color w:val="000000"/>
                <w:szCs w:val="21"/>
              </w:rPr>
              <w:t>壳体不测5.1.2.2.b），5.1.2.2.d）反光材料只测总面积和左、右、后三个方向可见；</w:t>
            </w:r>
          </w:p>
          <w:p>
            <w:pPr>
              <w:ind w:firstLine="420" w:firstLineChars="200"/>
              <w:jc w:val="left"/>
              <w:rPr>
                <w:rFonts w:hint="eastAsia" w:eastAsia="宋体"/>
                <w:lang w:val="en-US" w:eastAsia="zh-CN"/>
              </w:rPr>
            </w:pPr>
            <w:r>
              <w:rPr>
                <w:rFonts w:hint="eastAsia"/>
                <w:color w:val="000000"/>
                <w:szCs w:val="21"/>
                <w:lang w:val="en-US" w:eastAsia="zh-CN"/>
              </w:rPr>
              <w:t>2.</w:t>
            </w:r>
            <w:r>
              <w:rPr>
                <w:color w:val="000000"/>
                <w:szCs w:val="21"/>
              </w:rPr>
              <w:t>缓冲层只测5.1.3 b）</w:t>
            </w:r>
            <w:r>
              <w:rPr>
                <w:rFonts w:hint="eastAsia"/>
                <w:color w:val="000000"/>
                <w:szCs w:val="21"/>
                <w:lang w:eastAsia="zh-CN"/>
              </w:rPr>
              <w:t>。</w:t>
            </w:r>
          </w:p>
        </w:tc>
      </w:tr>
    </w:tbl>
    <w:p>
      <w:pPr>
        <w:snapToGrid w:val="0"/>
        <w:spacing w:line="440" w:lineRule="exact"/>
        <w:ind w:firstLine="420" w:firstLineChars="200"/>
        <w:jc w:val="both"/>
        <w:rPr>
          <w:rFonts w:hint="eastAsia" w:hAnsi="宋体"/>
          <w:color w:val="000000"/>
          <w:szCs w:val="21"/>
        </w:rPr>
      </w:pPr>
      <w:r>
        <w:rPr>
          <w:rFonts w:hint="eastAsia" w:hAnsi="宋体"/>
          <w:color w:val="000000"/>
          <w:szCs w:val="21"/>
        </w:rPr>
        <w:t>执行企业标准、团体标准、地方标准的产品，检验项目参照上述内容执行。</w:t>
      </w:r>
    </w:p>
    <w:p>
      <w:pPr>
        <w:spacing w:line="440" w:lineRule="exact"/>
        <w:ind w:firstLine="420" w:firstLineChars="200"/>
        <w:rPr>
          <w:rFonts w:hint="eastAsia" w:hAnsi="宋体"/>
          <w:color w:val="000000"/>
          <w:szCs w:val="21"/>
        </w:rPr>
      </w:pPr>
      <w:r>
        <w:rPr>
          <w:rFonts w:hAnsi="宋体"/>
          <w:color w:val="000000"/>
          <w:szCs w:val="21"/>
        </w:rPr>
        <w:t>凡是注日期的文件，其随后所有的修改单（不包括勘误的内容）或修订版不适用于本细则。凡是不注日期的文件，其最新版本适用于本细则。</w:t>
      </w:r>
    </w:p>
    <w:p>
      <w:pPr>
        <w:spacing w:line="440" w:lineRule="exact"/>
        <w:ind w:firstLine="420" w:firstLineChars="200"/>
        <w:rPr>
          <w:rFonts w:eastAsia="黑体"/>
          <w:color w:val="000000"/>
          <w:szCs w:val="21"/>
        </w:rPr>
      </w:pPr>
    </w:p>
    <w:p>
      <w:pPr>
        <w:spacing w:line="360" w:lineRule="auto"/>
        <w:rPr>
          <w:rFonts w:eastAsia="黑体"/>
          <w:color w:val="000000"/>
          <w:szCs w:val="21"/>
        </w:rPr>
      </w:pPr>
      <w:r>
        <w:rPr>
          <w:rFonts w:hint="eastAsia" w:eastAsia="黑体"/>
          <w:color w:val="000000"/>
          <w:szCs w:val="21"/>
          <w:lang w:val="en-US" w:eastAsia="zh-CN"/>
        </w:rPr>
        <w:t>2</w:t>
      </w:r>
      <w:r>
        <w:rPr>
          <w:rFonts w:eastAsia="黑体"/>
          <w:color w:val="000000"/>
          <w:szCs w:val="21"/>
        </w:rPr>
        <w:t xml:space="preserve"> 判定规则</w:t>
      </w:r>
    </w:p>
    <w:p>
      <w:pPr>
        <w:snapToGrid w:val="0"/>
        <w:spacing w:line="440" w:lineRule="exact"/>
        <w:rPr>
          <w:color w:val="000000"/>
          <w:szCs w:val="21"/>
        </w:rPr>
      </w:pPr>
      <w:r>
        <w:rPr>
          <w:rFonts w:hint="eastAsia"/>
          <w:color w:val="000000"/>
          <w:szCs w:val="21"/>
          <w:lang w:val="en-US" w:eastAsia="zh-CN"/>
        </w:rPr>
        <w:t>2</w:t>
      </w:r>
      <w:r>
        <w:rPr>
          <w:color w:val="000000"/>
          <w:szCs w:val="21"/>
        </w:rPr>
        <w:t>.1依据标准</w:t>
      </w:r>
    </w:p>
    <w:p>
      <w:pPr>
        <w:snapToGrid w:val="0"/>
        <w:spacing w:line="440" w:lineRule="exact"/>
        <w:ind w:firstLine="315" w:firstLineChars="150"/>
        <w:rPr>
          <w:szCs w:val="21"/>
        </w:rPr>
      </w:pPr>
      <w:r>
        <w:rPr>
          <w:color w:val="000000"/>
          <w:szCs w:val="21"/>
        </w:rPr>
        <w:t>GB 811-2010</w:t>
      </w:r>
      <w:r>
        <w:rPr>
          <w:rFonts w:hint="eastAsia"/>
          <w:color w:val="000000"/>
          <w:szCs w:val="21"/>
          <w:lang w:val="en-US" w:eastAsia="zh-CN"/>
        </w:rPr>
        <w:t xml:space="preserve"> </w:t>
      </w:r>
      <w:r>
        <w:rPr>
          <w:rFonts w:hAnsi="宋体"/>
          <w:color w:val="000000"/>
          <w:szCs w:val="21"/>
        </w:rPr>
        <w:t>摩托车乘员头盔</w:t>
      </w:r>
      <w:r>
        <w:rPr>
          <w:szCs w:val="21"/>
        </w:rPr>
        <w:t xml:space="preserve"> </w:t>
      </w:r>
    </w:p>
    <w:p>
      <w:pPr>
        <w:snapToGrid w:val="0"/>
        <w:spacing w:line="440" w:lineRule="exact"/>
        <w:ind w:firstLine="315" w:firstLineChars="150"/>
        <w:rPr>
          <w:rFonts w:hint="default" w:hAnsi="宋体"/>
          <w:color w:val="000000"/>
          <w:szCs w:val="21"/>
          <w:lang w:val="en-US"/>
        </w:rPr>
      </w:pPr>
      <w:r>
        <w:rPr>
          <w:szCs w:val="21"/>
        </w:rPr>
        <w:t>GB 811-20</w:t>
      </w:r>
      <w:r>
        <w:rPr>
          <w:rFonts w:hint="eastAsia"/>
          <w:szCs w:val="21"/>
          <w:lang w:val="en-US" w:eastAsia="zh-CN"/>
        </w:rPr>
        <w:t xml:space="preserve">22 </w:t>
      </w:r>
      <w:r>
        <w:rPr>
          <w:rFonts w:hint="eastAsia" w:hAnsi="宋体"/>
          <w:color w:val="000000"/>
          <w:szCs w:val="21"/>
        </w:rPr>
        <w:t>摩托车、电动自行车乘员头盔</w:t>
      </w:r>
    </w:p>
    <w:p>
      <w:pPr>
        <w:snapToGrid w:val="0"/>
        <w:spacing w:line="440" w:lineRule="exact"/>
        <w:ind w:firstLine="359" w:firstLineChars="171"/>
        <w:rPr>
          <w:rFonts w:hint="eastAsia" w:hAnsi="宋体"/>
          <w:szCs w:val="21"/>
        </w:rPr>
      </w:pPr>
      <w:r>
        <w:rPr>
          <w:rFonts w:hAnsi="宋体"/>
          <w:szCs w:val="21"/>
        </w:rPr>
        <w:t>现行有效的企业标准、团体标准、地方标准及产品明示质量要求</w:t>
      </w:r>
    </w:p>
    <w:p>
      <w:pPr>
        <w:snapToGrid w:val="0"/>
        <w:spacing w:line="440" w:lineRule="exact"/>
        <w:rPr>
          <w:rFonts w:hint="eastAsia" w:ascii="宋体" w:hAnsi="宋体"/>
          <w:color w:val="000000"/>
          <w:szCs w:val="21"/>
        </w:rPr>
      </w:pPr>
      <w:r>
        <w:rPr>
          <w:rFonts w:hint="eastAsia" w:ascii="宋体" w:hAnsi="宋体"/>
          <w:color w:val="000000"/>
          <w:szCs w:val="21"/>
          <w:lang w:val="en-US" w:eastAsia="zh-CN"/>
        </w:rPr>
        <w:t>2</w:t>
      </w:r>
      <w:r>
        <w:rPr>
          <w:rFonts w:hint="eastAsia" w:ascii="宋体" w:hAnsi="宋体"/>
          <w:color w:val="000000"/>
          <w:szCs w:val="21"/>
        </w:rPr>
        <w:t>.2判定原则</w:t>
      </w:r>
    </w:p>
    <w:p>
      <w:pPr>
        <w:snapToGrid w:val="0"/>
        <w:spacing w:line="440" w:lineRule="exact"/>
        <w:ind w:firstLine="420" w:firstLineChars="200"/>
        <w:rPr>
          <w:color w:val="000000"/>
          <w:szCs w:val="21"/>
        </w:rPr>
      </w:pPr>
      <w:r>
        <w:rPr>
          <w:color w:val="000000"/>
          <w:szCs w:val="21"/>
        </w:rPr>
        <w:t>经检验，检验项目全部合格，判定为被抽查产品</w:t>
      </w:r>
      <w:r>
        <w:rPr>
          <w:rFonts w:hint="eastAsia"/>
          <w:color w:val="000000"/>
          <w:szCs w:val="21"/>
        </w:rPr>
        <w:t>所检项目未发现不</w:t>
      </w:r>
      <w:r>
        <w:rPr>
          <w:color w:val="000000"/>
          <w:szCs w:val="21"/>
        </w:rPr>
        <w:t>合格；检验项目中任一项或一项以上不合格，判定为被抽查产品不合格。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若被检产品明示的质量要求低于或包含细则中检验项目依据的推荐性标准要求时，应以被检产品明示的质量要求判定，但应在检验报告备注中进行说明。</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p>
      <w:pPr>
        <w:snapToGrid w:val="0"/>
        <w:spacing w:line="440" w:lineRule="exact"/>
        <w:rPr>
          <w:rFonts w:ascii="宋体" w:hAnsi="宋体"/>
          <w:color w:val="FF0000"/>
          <w:szCs w:val="21"/>
        </w:rPr>
      </w:pP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5B526AC-9788-4638-981B-85109D71BFB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7203957F-C828-4B38-B0AE-2042D4F8F6DA}"/>
  </w:font>
  <w:font w:name="仿宋">
    <w:panose1 w:val="02010609060101010101"/>
    <w:charset w:val="86"/>
    <w:family w:val="modern"/>
    <w:pitch w:val="default"/>
    <w:sig w:usb0="800002BF" w:usb1="38CF7CFA" w:usb2="00000016" w:usb3="00000000" w:csb0="00040001" w:csb1="00000000"/>
    <w:embedRegular r:id="rId3" w:fontKey="{ADAB7C9C-2035-45BD-B6E1-5890F8AF7E27}"/>
  </w:font>
  <w:font w:name="方正仿宋简体">
    <w:panose1 w:val="02000000000000000000"/>
    <w:charset w:val="86"/>
    <w:family w:val="auto"/>
    <w:pitch w:val="default"/>
    <w:sig w:usb0="A00002BF" w:usb1="184F6CFA" w:usb2="00000012" w:usb3="00000000" w:csb0="00040001" w:csb1="00000000"/>
    <w:embedRegular r:id="rId4" w:fontKey="{BA318E49-4016-482B-879E-F2F2715A031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separate"/>
    </w:r>
    <w:r>
      <w:rPr>
        <w:rStyle w:val="10"/>
      </w:rPr>
      <w:t>2</w:t>
    </w:r>
    <w:r>
      <w:fldChar w:fldCharType="end"/>
    </w:r>
  </w:p>
  <w:p>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9A43A1"/>
    <w:multiLevelType w:val="singleLevel"/>
    <w:tmpl w:val="C59A43A1"/>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 w:name="KSO_WPS_MARK_KEY" w:val="e1bed295-b4a8-454a-91de-8da837dd8b0c"/>
  </w:docVars>
  <w:rsids>
    <w:rsidRoot w:val="00172A27"/>
    <w:rsid w:val="00001BE4"/>
    <w:rsid w:val="00004627"/>
    <w:rsid w:val="00023327"/>
    <w:rsid w:val="000424FC"/>
    <w:rsid w:val="000447FF"/>
    <w:rsid w:val="00051A44"/>
    <w:rsid w:val="00053C03"/>
    <w:rsid w:val="0005646F"/>
    <w:rsid w:val="00061C85"/>
    <w:rsid w:val="00063BDA"/>
    <w:rsid w:val="00081CBD"/>
    <w:rsid w:val="00086669"/>
    <w:rsid w:val="00093814"/>
    <w:rsid w:val="000976DE"/>
    <w:rsid w:val="000B528E"/>
    <w:rsid w:val="000B6884"/>
    <w:rsid w:val="000D7D37"/>
    <w:rsid w:val="00126C01"/>
    <w:rsid w:val="00127168"/>
    <w:rsid w:val="0013236D"/>
    <w:rsid w:val="001435D7"/>
    <w:rsid w:val="00150844"/>
    <w:rsid w:val="00167D68"/>
    <w:rsid w:val="001809DD"/>
    <w:rsid w:val="001970B6"/>
    <w:rsid w:val="001B0A2D"/>
    <w:rsid w:val="001B1904"/>
    <w:rsid w:val="001C5558"/>
    <w:rsid w:val="001C76E6"/>
    <w:rsid w:val="001D3674"/>
    <w:rsid w:val="001D4175"/>
    <w:rsid w:val="001F44C4"/>
    <w:rsid w:val="00200665"/>
    <w:rsid w:val="0021336B"/>
    <w:rsid w:val="00232530"/>
    <w:rsid w:val="00235F6B"/>
    <w:rsid w:val="002433C5"/>
    <w:rsid w:val="00253624"/>
    <w:rsid w:val="00257264"/>
    <w:rsid w:val="0026477B"/>
    <w:rsid w:val="0027564E"/>
    <w:rsid w:val="00281D7E"/>
    <w:rsid w:val="00282AF9"/>
    <w:rsid w:val="002B60D3"/>
    <w:rsid w:val="002D7F8A"/>
    <w:rsid w:val="002E0D1D"/>
    <w:rsid w:val="003063BE"/>
    <w:rsid w:val="003203A3"/>
    <w:rsid w:val="00344398"/>
    <w:rsid w:val="003571E8"/>
    <w:rsid w:val="0036620B"/>
    <w:rsid w:val="00374815"/>
    <w:rsid w:val="003C388C"/>
    <w:rsid w:val="003D00C4"/>
    <w:rsid w:val="003D3FAC"/>
    <w:rsid w:val="003E61BF"/>
    <w:rsid w:val="003E7B40"/>
    <w:rsid w:val="0041013E"/>
    <w:rsid w:val="00426D50"/>
    <w:rsid w:val="004433B0"/>
    <w:rsid w:val="00445E86"/>
    <w:rsid w:val="004671E9"/>
    <w:rsid w:val="00474E04"/>
    <w:rsid w:val="004773A4"/>
    <w:rsid w:val="0048525A"/>
    <w:rsid w:val="004940A4"/>
    <w:rsid w:val="004A5A50"/>
    <w:rsid w:val="004A5AF9"/>
    <w:rsid w:val="004D0C5A"/>
    <w:rsid w:val="004D4398"/>
    <w:rsid w:val="004E1396"/>
    <w:rsid w:val="005007B4"/>
    <w:rsid w:val="00503879"/>
    <w:rsid w:val="00504B3F"/>
    <w:rsid w:val="005055FC"/>
    <w:rsid w:val="005105AD"/>
    <w:rsid w:val="00510EC2"/>
    <w:rsid w:val="00520FC3"/>
    <w:rsid w:val="00523D89"/>
    <w:rsid w:val="005309CE"/>
    <w:rsid w:val="005559B2"/>
    <w:rsid w:val="00561804"/>
    <w:rsid w:val="00563EBC"/>
    <w:rsid w:val="00577A4C"/>
    <w:rsid w:val="005A3733"/>
    <w:rsid w:val="005B0425"/>
    <w:rsid w:val="005C21CE"/>
    <w:rsid w:val="005E218D"/>
    <w:rsid w:val="005E4D50"/>
    <w:rsid w:val="00623F9F"/>
    <w:rsid w:val="00651DB1"/>
    <w:rsid w:val="0065580E"/>
    <w:rsid w:val="00656483"/>
    <w:rsid w:val="006A56FE"/>
    <w:rsid w:val="006B4552"/>
    <w:rsid w:val="006D7053"/>
    <w:rsid w:val="006E1171"/>
    <w:rsid w:val="006E651D"/>
    <w:rsid w:val="006F088A"/>
    <w:rsid w:val="006F0971"/>
    <w:rsid w:val="007116EC"/>
    <w:rsid w:val="00714FD9"/>
    <w:rsid w:val="00715E23"/>
    <w:rsid w:val="0072334C"/>
    <w:rsid w:val="0072480C"/>
    <w:rsid w:val="00726BD3"/>
    <w:rsid w:val="0073191F"/>
    <w:rsid w:val="00736363"/>
    <w:rsid w:val="00756BE5"/>
    <w:rsid w:val="00774D5E"/>
    <w:rsid w:val="00780A0E"/>
    <w:rsid w:val="0079755B"/>
    <w:rsid w:val="007C1FBE"/>
    <w:rsid w:val="007C2AF3"/>
    <w:rsid w:val="007D3AD4"/>
    <w:rsid w:val="007F782F"/>
    <w:rsid w:val="00802A8E"/>
    <w:rsid w:val="00820F6D"/>
    <w:rsid w:val="00821F43"/>
    <w:rsid w:val="00824143"/>
    <w:rsid w:val="008324C5"/>
    <w:rsid w:val="00835AFF"/>
    <w:rsid w:val="008608A4"/>
    <w:rsid w:val="0086288B"/>
    <w:rsid w:val="00871744"/>
    <w:rsid w:val="00873D0E"/>
    <w:rsid w:val="00875743"/>
    <w:rsid w:val="00893F19"/>
    <w:rsid w:val="00895BEA"/>
    <w:rsid w:val="008A3497"/>
    <w:rsid w:val="008C414D"/>
    <w:rsid w:val="008C4DF0"/>
    <w:rsid w:val="008D0AEB"/>
    <w:rsid w:val="008D1235"/>
    <w:rsid w:val="008E5EB9"/>
    <w:rsid w:val="008F3FAF"/>
    <w:rsid w:val="00900125"/>
    <w:rsid w:val="00917A54"/>
    <w:rsid w:val="0095179C"/>
    <w:rsid w:val="00955B94"/>
    <w:rsid w:val="00977347"/>
    <w:rsid w:val="009805ED"/>
    <w:rsid w:val="009838EC"/>
    <w:rsid w:val="0099444B"/>
    <w:rsid w:val="009B1EC2"/>
    <w:rsid w:val="009B36F6"/>
    <w:rsid w:val="009B4229"/>
    <w:rsid w:val="009B6588"/>
    <w:rsid w:val="009D3DED"/>
    <w:rsid w:val="009D6F18"/>
    <w:rsid w:val="009E4AF8"/>
    <w:rsid w:val="009E6765"/>
    <w:rsid w:val="00A00457"/>
    <w:rsid w:val="00A158F5"/>
    <w:rsid w:val="00A162F7"/>
    <w:rsid w:val="00A22755"/>
    <w:rsid w:val="00A2443C"/>
    <w:rsid w:val="00A2751C"/>
    <w:rsid w:val="00A361C8"/>
    <w:rsid w:val="00A43553"/>
    <w:rsid w:val="00A44812"/>
    <w:rsid w:val="00A551E1"/>
    <w:rsid w:val="00A62FD4"/>
    <w:rsid w:val="00A85030"/>
    <w:rsid w:val="00AC45F9"/>
    <w:rsid w:val="00AC5391"/>
    <w:rsid w:val="00AD7643"/>
    <w:rsid w:val="00AF7FA4"/>
    <w:rsid w:val="00B10A9F"/>
    <w:rsid w:val="00B22A51"/>
    <w:rsid w:val="00B33E6B"/>
    <w:rsid w:val="00B368F9"/>
    <w:rsid w:val="00B44347"/>
    <w:rsid w:val="00B51A7E"/>
    <w:rsid w:val="00B51EBC"/>
    <w:rsid w:val="00B70068"/>
    <w:rsid w:val="00B7730A"/>
    <w:rsid w:val="00BA7C8F"/>
    <w:rsid w:val="00BF2B8C"/>
    <w:rsid w:val="00BF48BD"/>
    <w:rsid w:val="00C06823"/>
    <w:rsid w:val="00C26074"/>
    <w:rsid w:val="00C342EE"/>
    <w:rsid w:val="00C531F1"/>
    <w:rsid w:val="00C745E9"/>
    <w:rsid w:val="00C83B0A"/>
    <w:rsid w:val="00C97B71"/>
    <w:rsid w:val="00CE1E0C"/>
    <w:rsid w:val="00CE277E"/>
    <w:rsid w:val="00D002EF"/>
    <w:rsid w:val="00D069E6"/>
    <w:rsid w:val="00D2686D"/>
    <w:rsid w:val="00D3196A"/>
    <w:rsid w:val="00D35CFB"/>
    <w:rsid w:val="00D47964"/>
    <w:rsid w:val="00D54112"/>
    <w:rsid w:val="00D56867"/>
    <w:rsid w:val="00D669FF"/>
    <w:rsid w:val="00D84F24"/>
    <w:rsid w:val="00D91CF5"/>
    <w:rsid w:val="00D94978"/>
    <w:rsid w:val="00DB0453"/>
    <w:rsid w:val="00DC5CB4"/>
    <w:rsid w:val="00DD3104"/>
    <w:rsid w:val="00DD753B"/>
    <w:rsid w:val="00DE7094"/>
    <w:rsid w:val="00DF0085"/>
    <w:rsid w:val="00DF5FD3"/>
    <w:rsid w:val="00E02A7F"/>
    <w:rsid w:val="00E06CD4"/>
    <w:rsid w:val="00E07880"/>
    <w:rsid w:val="00E07FE3"/>
    <w:rsid w:val="00E13376"/>
    <w:rsid w:val="00E60E54"/>
    <w:rsid w:val="00E63C6E"/>
    <w:rsid w:val="00E647FB"/>
    <w:rsid w:val="00E82621"/>
    <w:rsid w:val="00EA1482"/>
    <w:rsid w:val="00EA2BD4"/>
    <w:rsid w:val="00EB0DD7"/>
    <w:rsid w:val="00EE02B1"/>
    <w:rsid w:val="00F075BA"/>
    <w:rsid w:val="00F11A54"/>
    <w:rsid w:val="00F34B2A"/>
    <w:rsid w:val="00F4532B"/>
    <w:rsid w:val="00F5529D"/>
    <w:rsid w:val="00F71996"/>
    <w:rsid w:val="00F72695"/>
    <w:rsid w:val="00F77C9A"/>
    <w:rsid w:val="00FA2E1F"/>
    <w:rsid w:val="00FB2029"/>
    <w:rsid w:val="00FB576C"/>
    <w:rsid w:val="00FD2AA6"/>
    <w:rsid w:val="00FD32FC"/>
    <w:rsid w:val="00FE7E8A"/>
    <w:rsid w:val="00FF2DE9"/>
    <w:rsid w:val="00FF6189"/>
    <w:rsid w:val="029718BF"/>
    <w:rsid w:val="038F2CE6"/>
    <w:rsid w:val="039467E0"/>
    <w:rsid w:val="0493450B"/>
    <w:rsid w:val="07E868C8"/>
    <w:rsid w:val="07FE4FFB"/>
    <w:rsid w:val="09746184"/>
    <w:rsid w:val="09B56CE6"/>
    <w:rsid w:val="0A951826"/>
    <w:rsid w:val="0C67079E"/>
    <w:rsid w:val="0F0F78E9"/>
    <w:rsid w:val="1114262A"/>
    <w:rsid w:val="12B24C82"/>
    <w:rsid w:val="12D73AF2"/>
    <w:rsid w:val="13263A07"/>
    <w:rsid w:val="13B82A6B"/>
    <w:rsid w:val="14DD2E82"/>
    <w:rsid w:val="159E1DDA"/>
    <w:rsid w:val="16244F96"/>
    <w:rsid w:val="16862D18"/>
    <w:rsid w:val="16FC21E7"/>
    <w:rsid w:val="17187738"/>
    <w:rsid w:val="17B03F40"/>
    <w:rsid w:val="18031ACE"/>
    <w:rsid w:val="18AA4D25"/>
    <w:rsid w:val="194E649C"/>
    <w:rsid w:val="1A5200EF"/>
    <w:rsid w:val="1AA60EB9"/>
    <w:rsid w:val="1AC13CF0"/>
    <w:rsid w:val="1B400016"/>
    <w:rsid w:val="1B644AA0"/>
    <w:rsid w:val="1D3540E3"/>
    <w:rsid w:val="1D7C2FC8"/>
    <w:rsid w:val="1DDC7E12"/>
    <w:rsid w:val="1E521C6C"/>
    <w:rsid w:val="1E5B3970"/>
    <w:rsid w:val="1F110E24"/>
    <w:rsid w:val="20264E42"/>
    <w:rsid w:val="221E1F29"/>
    <w:rsid w:val="22F834EB"/>
    <w:rsid w:val="23725DBD"/>
    <w:rsid w:val="24DD3D3B"/>
    <w:rsid w:val="254831D8"/>
    <w:rsid w:val="25750693"/>
    <w:rsid w:val="27183306"/>
    <w:rsid w:val="28044869"/>
    <w:rsid w:val="29391CBA"/>
    <w:rsid w:val="2A0B032F"/>
    <w:rsid w:val="2A42610F"/>
    <w:rsid w:val="2AA67532"/>
    <w:rsid w:val="2B7C5FF3"/>
    <w:rsid w:val="2DFD0CD0"/>
    <w:rsid w:val="2F0E7975"/>
    <w:rsid w:val="3011298E"/>
    <w:rsid w:val="304A0BEF"/>
    <w:rsid w:val="30C61A61"/>
    <w:rsid w:val="30CE2ACD"/>
    <w:rsid w:val="30F6140B"/>
    <w:rsid w:val="31037709"/>
    <w:rsid w:val="336B4144"/>
    <w:rsid w:val="33FF5654"/>
    <w:rsid w:val="3664116B"/>
    <w:rsid w:val="37641E43"/>
    <w:rsid w:val="37EA5437"/>
    <w:rsid w:val="37F73447"/>
    <w:rsid w:val="381704DD"/>
    <w:rsid w:val="38DC4AE5"/>
    <w:rsid w:val="391F5A51"/>
    <w:rsid w:val="3A9D69A7"/>
    <w:rsid w:val="3AC341A6"/>
    <w:rsid w:val="3C67698C"/>
    <w:rsid w:val="3C955665"/>
    <w:rsid w:val="3DB321B4"/>
    <w:rsid w:val="3E1936B9"/>
    <w:rsid w:val="420F7E4B"/>
    <w:rsid w:val="42717A92"/>
    <w:rsid w:val="42F7523D"/>
    <w:rsid w:val="43983C73"/>
    <w:rsid w:val="44016C22"/>
    <w:rsid w:val="44C65333"/>
    <w:rsid w:val="4509324B"/>
    <w:rsid w:val="45F05B68"/>
    <w:rsid w:val="464F2027"/>
    <w:rsid w:val="48AE1673"/>
    <w:rsid w:val="49C40426"/>
    <w:rsid w:val="49D339DA"/>
    <w:rsid w:val="4BC80562"/>
    <w:rsid w:val="4C7C7A90"/>
    <w:rsid w:val="4D7B4D6D"/>
    <w:rsid w:val="4DFA3457"/>
    <w:rsid w:val="4DFA3943"/>
    <w:rsid w:val="4E1230B8"/>
    <w:rsid w:val="50963109"/>
    <w:rsid w:val="50EE1E78"/>
    <w:rsid w:val="5163358A"/>
    <w:rsid w:val="52010450"/>
    <w:rsid w:val="5238355F"/>
    <w:rsid w:val="52DD515D"/>
    <w:rsid w:val="53DA0A49"/>
    <w:rsid w:val="54284EE7"/>
    <w:rsid w:val="56511D9F"/>
    <w:rsid w:val="574E4948"/>
    <w:rsid w:val="58460A8B"/>
    <w:rsid w:val="585A75FF"/>
    <w:rsid w:val="586D0877"/>
    <w:rsid w:val="5AB45E63"/>
    <w:rsid w:val="5CB614E6"/>
    <w:rsid w:val="5D6C523A"/>
    <w:rsid w:val="5DE92C09"/>
    <w:rsid w:val="5DF03FDB"/>
    <w:rsid w:val="5DFC2E03"/>
    <w:rsid w:val="5E6049D2"/>
    <w:rsid w:val="5EAB3C43"/>
    <w:rsid w:val="5F193603"/>
    <w:rsid w:val="62915A3F"/>
    <w:rsid w:val="62F06D29"/>
    <w:rsid w:val="636734F2"/>
    <w:rsid w:val="639D7EB2"/>
    <w:rsid w:val="63AA124F"/>
    <w:rsid w:val="64B613BB"/>
    <w:rsid w:val="65397C15"/>
    <w:rsid w:val="65A94935"/>
    <w:rsid w:val="666A19AB"/>
    <w:rsid w:val="666F67A2"/>
    <w:rsid w:val="6699496B"/>
    <w:rsid w:val="66E43F89"/>
    <w:rsid w:val="67DE7BEB"/>
    <w:rsid w:val="69037F96"/>
    <w:rsid w:val="6B7E177B"/>
    <w:rsid w:val="6DA97ED4"/>
    <w:rsid w:val="6DEC517E"/>
    <w:rsid w:val="6F226779"/>
    <w:rsid w:val="6F44359B"/>
    <w:rsid w:val="72055190"/>
    <w:rsid w:val="72314842"/>
    <w:rsid w:val="741C6A92"/>
    <w:rsid w:val="74D37D84"/>
    <w:rsid w:val="75712BE9"/>
    <w:rsid w:val="75E04494"/>
    <w:rsid w:val="761B573C"/>
    <w:rsid w:val="77B636FE"/>
    <w:rsid w:val="788B62FE"/>
    <w:rsid w:val="78B16581"/>
    <w:rsid w:val="78F82855"/>
    <w:rsid w:val="7A303288"/>
    <w:rsid w:val="7A53491B"/>
    <w:rsid w:val="7A823136"/>
    <w:rsid w:val="7A9A6D1D"/>
    <w:rsid w:val="7AA23143"/>
    <w:rsid w:val="7AB17658"/>
    <w:rsid w:val="7C9006AC"/>
    <w:rsid w:val="7D81503B"/>
    <w:rsid w:val="7F5C64EA"/>
    <w:rsid w:val="7F6F730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9">
    <w:name w:val="Default Paragraph Font"/>
    <w:semiHidden/>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Document Map"/>
    <w:basedOn w:val="1"/>
    <w:semiHidden/>
    <w:qFormat/>
    <w:uiPriority w:val="0"/>
    <w:pPr>
      <w:shd w:val="clear" w:color="auto" w:fill="000080"/>
    </w:pPr>
  </w:style>
  <w:style w:type="paragraph" w:styleId="4">
    <w:name w:val="Balloon Text"/>
    <w:basedOn w:val="1"/>
    <w:link w:val="11"/>
    <w:autoRedefine/>
    <w:unhideWhenUsed/>
    <w:qFormat/>
    <w:uiPriority w:val="99"/>
    <w:rPr>
      <w:sz w:val="18"/>
      <w:szCs w:val="18"/>
    </w:rPr>
  </w:style>
  <w:style w:type="paragraph" w:styleId="5">
    <w:name w:val="footer"/>
    <w:basedOn w:val="1"/>
    <w:link w:val="12"/>
    <w:autoRedefine/>
    <w:unhideWhenUsed/>
    <w:qFormat/>
    <w:uiPriority w:val="99"/>
    <w:pPr>
      <w:tabs>
        <w:tab w:val="center" w:pos="4153"/>
        <w:tab w:val="right" w:pos="8306"/>
      </w:tabs>
      <w:snapToGrid w:val="0"/>
      <w:jc w:val="left"/>
    </w:pPr>
    <w:rPr>
      <w:sz w:val="18"/>
      <w:szCs w:val="18"/>
    </w:rPr>
  </w:style>
  <w:style w:type="paragraph" w:styleId="6">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autoRedefine/>
    <w:qFormat/>
    <w:uiPriority w:val="0"/>
  </w:style>
  <w:style w:type="character" w:customStyle="1" w:styleId="11">
    <w:name w:val="批注框文本 Char"/>
    <w:link w:val="4"/>
    <w:autoRedefine/>
    <w:semiHidden/>
    <w:qFormat/>
    <w:uiPriority w:val="99"/>
    <w:rPr>
      <w:kern w:val="2"/>
      <w:sz w:val="18"/>
      <w:szCs w:val="18"/>
    </w:rPr>
  </w:style>
  <w:style w:type="character" w:customStyle="1" w:styleId="12">
    <w:name w:val="页脚 Char"/>
    <w:link w:val="5"/>
    <w:autoRedefine/>
    <w:qFormat/>
    <w:uiPriority w:val="99"/>
    <w:rPr>
      <w:kern w:val="2"/>
      <w:sz w:val="18"/>
      <w:szCs w:val="18"/>
    </w:rPr>
  </w:style>
  <w:style w:type="character" w:customStyle="1" w:styleId="13">
    <w:name w:val="页眉 Char"/>
    <w:link w:val="6"/>
    <w:autoRedefine/>
    <w:semiHidden/>
    <w:qFormat/>
    <w:uiPriority w:val="99"/>
    <w:rPr>
      <w:kern w:val="2"/>
      <w:sz w:val="18"/>
      <w:szCs w:val="18"/>
    </w:rPr>
  </w:style>
  <w:style w:type="paragraph" w:customStyle="1" w:styleId="14">
    <w:name w:val="列出段落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712</Words>
  <Characters>757</Characters>
  <Lines>5</Lines>
  <Paragraphs>1</Paragraphs>
  <TotalTime>6</TotalTime>
  <ScaleCrop>false</ScaleCrop>
  <LinksUpToDate>false</LinksUpToDate>
  <CharactersWithSpaces>768</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2020-01-06T04:47:00Z</dcterms:created>
  <dc:creator>Legend User</dc:creator>
  <cp:lastModifiedBy>王达达</cp:lastModifiedBy>
  <cp:lastPrinted>2019-12-05T07:53:00Z</cp:lastPrinted>
  <dcterms:modified xsi:type="dcterms:W3CDTF">2024-03-21T08:38:46Z</dcterms:modified>
  <dc:title>××产品质量监督抽查实施细则</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KSOSaveFontToCloudKey">
    <vt:lpwstr>705523681_cloud</vt:lpwstr>
  </property>
  <property fmtid="{D5CDD505-2E9C-101B-9397-08002B2CF9AE}" pid="4" name="ICV">
    <vt:lpwstr>AA2242F97D264F98A74E88AB32716317_13</vt:lpwstr>
  </property>
</Properties>
</file>