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重庆市聚乙酸乙烯酯乳液木材胶粘剂产品质量监督</w:t>
      </w:r>
    </w:p>
    <w:p>
      <w:pPr>
        <w:snapToGrid w:val="0"/>
        <w:jc w:val="center"/>
        <w:rPr>
          <w:rFonts w:hint="eastAsia"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抽查实施细则（202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w:t>
      </w:r>
      <w:r>
        <w:rPr>
          <w:rFonts w:hint="eastAsia" w:ascii="宋体" w:hAnsi="宋体"/>
          <w:szCs w:val="21"/>
          <w:lang w:val="en-US" w:eastAsia="zh-CN"/>
        </w:rPr>
        <w:t>样品2份</w:t>
      </w:r>
      <w:r>
        <w:rPr>
          <w:rFonts w:hint="eastAsia"/>
        </w:rPr>
        <w:t>，</w:t>
      </w:r>
      <w:r>
        <w:rPr>
          <w:rFonts w:hint="eastAsia"/>
          <w:lang w:eastAsia="zh-CN"/>
        </w:rPr>
        <w:t>其中</w:t>
      </w:r>
      <w:r>
        <w:rPr>
          <w:rFonts w:hint="eastAsia"/>
          <w:lang w:val="en-US" w:eastAsia="zh-CN"/>
        </w:rPr>
        <w:t>1份作为</w:t>
      </w:r>
      <w:r>
        <w:rPr>
          <w:rFonts w:hint="eastAsia"/>
          <w:lang w:eastAsia="zh-CN"/>
        </w:rPr>
        <w:t>检验样品</w:t>
      </w:r>
      <w:r>
        <w:rPr>
          <w:rFonts w:hint="eastAsia"/>
          <w:lang w:val="en-US" w:eastAsia="zh-CN"/>
        </w:rPr>
        <w:t>，1份作为备用样品（每份不小于2kg）</w:t>
      </w:r>
      <w:r>
        <w:t>。</w:t>
      </w:r>
    </w:p>
    <w:p>
      <w:pPr>
        <w:snapToGrid w:val="0"/>
        <w:spacing w:line="440" w:lineRule="exact"/>
        <w:ind w:firstLine="420" w:firstLineChars="200"/>
        <w:rPr>
          <w:rFonts w:ascii="宋体" w:hAnsi="宋体"/>
          <w:color w:val="000000" w:themeColor="text1"/>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tbl>
      <w:tblPr>
        <w:tblStyle w:val="4"/>
        <w:tblpPr w:leftFromText="180" w:rightFromText="180" w:vertAnchor="text" w:horzAnchor="page" w:tblpXSpec="center" w:tblpY="45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237"/>
        <w:gridCol w:w="3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237"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3795" w:type="dxa"/>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237"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pH值</w:t>
            </w:r>
          </w:p>
        </w:tc>
        <w:tc>
          <w:tcPr>
            <w:tcW w:w="3795" w:type="dxa"/>
            <w:vAlign w:val="top"/>
          </w:tcPr>
          <w:p>
            <w:pPr>
              <w:snapToGrid w:val="0"/>
              <w:spacing w:line="440" w:lineRule="exact"/>
              <w:jc w:val="center"/>
              <w:rPr>
                <w:rFonts w:hint="default"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GB/T 11175-</w:t>
            </w:r>
            <w:r>
              <w:rPr>
                <w:rFonts w:hint="eastAsia" w:ascii="宋体" w:hAnsi="宋体"/>
                <w:color w:val="000000" w:themeColor="text1"/>
                <w:szCs w:val="21"/>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3237"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黏度</w:t>
            </w:r>
          </w:p>
        </w:tc>
        <w:tc>
          <w:tcPr>
            <w:tcW w:w="3795"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GB/T 11175-</w:t>
            </w:r>
            <w:r>
              <w:rPr>
                <w:rFonts w:hint="eastAsia" w:ascii="宋体" w:hAnsi="宋体"/>
                <w:color w:val="000000" w:themeColor="text1"/>
                <w:szCs w:val="21"/>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3</w:t>
            </w:r>
          </w:p>
        </w:tc>
        <w:tc>
          <w:tcPr>
            <w:tcW w:w="3237" w:type="dxa"/>
            <w:vAlign w:val="top"/>
          </w:tcPr>
          <w:p>
            <w:pPr>
              <w:snapToGrid w:val="0"/>
              <w:spacing w:line="440" w:lineRule="exact"/>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不挥发物</w:t>
            </w:r>
          </w:p>
        </w:tc>
        <w:tc>
          <w:tcPr>
            <w:tcW w:w="3795" w:type="dxa"/>
            <w:vAlign w:val="top"/>
          </w:tcPr>
          <w:p>
            <w:pPr>
              <w:snapToGrid w:val="0"/>
              <w:spacing w:line="440" w:lineRule="exact"/>
              <w:jc w:val="center"/>
              <w:rPr>
                <w:rFonts w:hint="eastAsia"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GB/T 11175-</w:t>
            </w:r>
            <w:r>
              <w:rPr>
                <w:rFonts w:hint="eastAsia" w:ascii="宋体" w:hAnsi="宋体"/>
                <w:color w:val="000000" w:themeColor="text1"/>
                <w:szCs w:val="21"/>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4</w:t>
            </w:r>
          </w:p>
        </w:tc>
        <w:tc>
          <w:tcPr>
            <w:tcW w:w="3237"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游离甲醛</w:t>
            </w:r>
          </w:p>
        </w:tc>
        <w:tc>
          <w:tcPr>
            <w:tcW w:w="3795"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GB 18583-2008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5</w:t>
            </w:r>
          </w:p>
        </w:tc>
        <w:tc>
          <w:tcPr>
            <w:tcW w:w="3237"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总挥发性有机物</w:t>
            </w:r>
          </w:p>
        </w:tc>
        <w:tc>
          <w:tcPr>
            <w:tcW w:w="3795" w:type="dxa"/>
            <w:vAlign w:val="top"/>
          </w:tcPr>
          <w:p>
            <w:pPr>
              <w:snapToGrid w:val="0"/>
              <w:spacing w:line="440" w:lineRule="exact"/>
              <w:jc w:val="center"/>
              <w:rPr>
                <w:rFonts w:hint="eastAsia" w:ascii="宋体" w:hAnsi="宋体"/>
                <w:color w:val="000000" w:themeColor="text1"/>
                <w:szCs w:val="21"/>
              </w:rPr>
            </w:pPr>
            <w:r>
              <w:rPr>
                <w:rFonts w:hint="eastAsia" w:ascii="宋体" w:hAnsi="宋体"/>
                <w:color w:val="000000" w:themeColor="text1"/>
                <w:szCs w:val="21"/>
              </w:rPr>
              <w:t>GB 18583-2008</w:t>
            </w:r>
          </w:p>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GB 33372-2020</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6</w:t>
            </w:r>
          </w:p>
        </w:tc>
        <w:tc>
          <w:tcPr>
            <w:tcW w:w="3237"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苯</w:t>
            </w:r>
          </w:p>
        </w:tc>
        <w:tc>
          <w:tcPr>
            <w:tcW w:w="3795"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GB 18583-2008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7</w:t>
            </w:r>
          </w:p>
        </w:tc>
        <w:tc>
          <w:tcPr>
            <w:tcW w:w="3237"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甲苯+二甲苯</w:t>
            </w:r>
          </w:p>
        </w:tc>
        <w:tc>
          <w:tcPr>
            <w:tcW w:w="3795"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GB 18583-2008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Align w:val="center"/>
          </w:tcPr>
          <w:p>
            <w:pPr>
              <w:snapToGrid w:val="0"/>
              <w:spacing w:line="440" w:lineRule="exact"/>
              <w:jc w:val="center"/>
              <w:rPr>
                <w:rFonts w:hint="eastAsia" w:ascii="宋体" w:hAnsi="宋体" w:eastAsia="宋体"/>
                <w:color w:val="000000" w:themeColor="text1"/>
                <w:szCs w:val="21"/>
                <w:lang w:eastAsia="zh-CN"/>
              </w:rPr>
            </w:pPr>
            <w:r>
              <w:rPr>
                <w:rFonts w:hint="eastAsia" w:ascii="宋体" w:hAnsi="宋体"/>
                <w:color w:val="000000" w:themeColor="text1"/>
                <w:szCs w:val="21"/>
                <w:lang w:val="en-US" w:eastAsia="zh-CN"/>
              </w:rPr>
              <w:t>8</w:t>
            </w:r>
          </w:p>
        </w:tc>
        <w:tc>
          <w:tcPr>
            <w:tcW w:w="3237"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压缩剪切强度（干</w:t>
            </w:r>
            <w:r>
              <w:rPr>
                <w:rFonts w:hint="eastAsia" w:ascii="宋体" w:hAnsi="宋体"/>
                <w:color w:val="000000" w:themeColor="text1"/>
                <w:szCs w:val="21"/>
                <w:lang w:eastAsia="zh-CN"/>
              </w:rPr>
              <w:t>、</w:t>
            </w:r>
            <w:r>
              <w:rPr>
                <w:rFonts w:hint="eastAsia" w:ascii="宋体" w:hAnsi="宋体"/>
                <w:color w:val="000000" w:themeColor="text1"/>
                <w:szCs w:val="21"/>
              </w:rPr>
              <w:t>湿强度）</w:t>
            </w:r>
          </w:p>
        </w:tc>
        <w:tc>
          <w:tcPr>
            <w:tcW w:w="3795" w:type="dxa"/>
            <w:vAlign w:val="top"/>
          </w:tcPr>
          <w:p>
            <w:pPr>
              <w:snapToGrid w:val="0"/>
              <w:spacing w:line="440" w:lineRule="exact"/>
              <w:jc w:val="center"/>
              <w:rPr>
                <w:rFonts w:ascii="宋体" w:hAnsi="宋体" w:eastAsia="宋体" w:cs="Times New Roman"/>
                <w:color w:val="000000" w:themeColor="text1"/>
                <w:kern w:val="2"/>
                <w:sz w:val="21"/>
                <w:szCs w:val="21"/>
                <w:lang w:val="en-US" w:eastAsia="zh-CN" w:bidi="ar-SA"/>
              </w:rPr>
            </w:pPr>
            <w:r>
              <w:rPr>
                <w:rFonts w:hint="eastAsia" w:ascii="宋体" w:hAnsi="宋体"/>
                <w:color w:val="000000" w:themeColor="text1"/>
                <w:szCs w:val="21"/>
              </w:rPr>
              <w:t>HG/T 2727-2010</w:t>
            </w:r>
          </w:p>
        </w:tc>
      </w:tr>
    </w:tbl>
    <w:p>
      <w:pPr>
        <w:snapToGrid w:val="0"/>
        <w:spacing w:line="440" w:lineRule="exact"/>
        <w:ind w:firstLine="359" w:firstLineChars="171"/>
        <w:rPr>
          <w:rFonts w:ascii="宋体" w:hAnsi="宋体"/>
          <w:color w:val="000000"/>
          <w:szCs w:val="21"/>
        </w:rPr>
      </w:pPr>
    </w:p>
    <w:p>
      <w:pPr>
        <w:spacing w:line="360" w:lineRule="auto"/>
        <w:rPr>
          <w:rFonts w:hint="eastAsia" w:ascii="黑体" w:hAnsi="黑体" w:eastAsia="黑体"/>
          <w:color w:val="000000"/>
          <w:szCs w:val="21"/>
        </w:rPr>
      </w:pPr>
    </w:p>
    <w:p>
      <w:pPr>
        <w:spacing w:line="360" w:lineRule="auto"/>
        <w:rPr>
          <w:rFonts w:hint="eastAsia" w:ascii="黑体" w:hAnsi="黑体" w:eastAsia="黑体"/>
          <w:color w:val="000000"/>
          <w:szCs w:val="21"/>
        </w:rPr>
      </w:pPr>
    </w:p>
    <w:p>
      <w:pPr>
        <w:spacing w:line="360" w:lineRule="auto"/>
        <w:rPr>
          <w:rFonts w:hint="eastAsia" w:ascii="黑体" w:hAnsi="黑体" w:eastAsia="黑体"/>
          <w:color w:val="000000"/>
          <w:szCs w:val="21"/>
        </w:rPr>
      </w:pPr>
    </w:p>
    <w:p>
      <w:pPr>
        <w:spacing w:line="360" w:lineRule="auto"/>
        <w:rPr>
          <w:rFonts w:hint="eastAsia" w:ascii="黑体" w:hAnsi="黑体" w:eastAsia="黑体"/>
          <w:color w:val="000000"/>
          <w:szCs w:val="21"/>
        </w:rPr>
      </w:pPr>
    </w:p>
    <w:p>
      <w:pPr>
        <w:spacing w:line="360" w:lineRule="auto"/>
        <w:rPr>
          <w:rFonts w:hint="eastAsia" w:ascii="黑体" w:hAnsi="黑体" w:eastAsia="黑体"/>
          <w:color w:val="000000"/>
          <w:szCs w:val="21"/>
        </w:rPr>
      </w:pPr>
    </w:p>
    <w:p>
      <w:pPr>
        <w:spacing w:line="360" w:lineRule="auto"/>
        <w:rPr>
          <w:rFonts w:hint="eastAsia" w:ascii="黑体" w:hAnsi="黑体" w:eastAsia="黑体"/>
          <w:color w:val="000000"/>
          <w:szCs w:val="21"/>
        </w:rPr>
      </w:pPr>
    </w:p>
    <w:p>
      <w:pPr>
        <w:spacing w:line="360" w:lineRule="auto"/>
        <w:rPr>
          <w:rFonts w:hint="eastAsia" w:ascii="黑体" w:hAnsi="黑体" w:eastAsia="黑体"/>
          <w:color w:val="000000"/>
          <w:szCs w:val="21"/>
        </w:rPr>
      </w:pPr>
    </w:p>
    <w:p>
      <w:pPr>
        <w:spacing w:line="360" w:lineRule="auto"/>
        <w:rPr>
          <w:rFonts w:hint="eastAsia" w:ascii="黑体" w:hAnsi="黑体" w:eastAsia="黑体"/>
          <w:color w:val="000000"/>
          <w:szCs w:val="21"/>
        </w:rPr>
      </w:pPr>
    </w:p>
    <w:p>
      <w:pPr>
        <w:spacing w:line="360" w:lineRule="auto"/>
        <w:rPr>
          <w:rFonts w:hint="eastAsia" w:ascii="黑体" w:hAnsi="黑体" w:eastAsia="黑体"/>
          <w:color w:val="000000"/>
          <w:szCs w:val="21"/>
        </w:rPr>
      </w:pP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pacing w:line="360" w:lineRule="auto"/>
        <w:rPr>
          <w:rFonts w:hint="eastAsia" w:ascii="黑体" w:hAnsi="黑体" w:eastAsia="黑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keepNext w:val="0"/>
        <w:keepLines w:val="0"/>
        <w:pageBreakBefore w:val="0"/>
        <w:widowControl w:val="0"/>
        <w:kinsoku/>
        <w:wordWrap/>
        <w:overflowPunct/>
        <w:topLinePunct w:val="0"/>
        <w:autoSpaceDE/>
        <w:autoSpaceDN/>
        <w:bidi w:val="0"/>
        <w:adjustRightInd/>
        <w:snapToGrid w:val="0"/>
        <w:spacing w:line="440" w:lineRule="exact"/>
        <w:ind w:firstLine="405"/>
        <w:textAlignment w:val="auto"/>
        <w:rPr>
          <w:color w:val="000000" w:themeColor="text1"/>
          <w:szCs w:val="21"/>
        </w:rPr>
      </w:pPr>
      <w:r>
        <w:rPr>
          <w:rFonts w:hint="eastAsia" w:ascii="宋体" w:hAnsi="宋体"/>
          <w:color w:val="000000" w:themeColor="text1"/>
          <w:szCs w:val="21"/>
        </w:rPr>
        <w:t>GB 18583-2008</w:t>
      </w:r>
      <w:r>
        <w:rPr>
          <w:rFonts w:hint="eastAsia"/>
          <w:color w:val="000000" w:themeColor="text1"/>
          <w:szCs w:val="21"/>
        </w:rPr>
        <w:t>室内装饰装修材料 胶粘剂中有害物质限量</w:t>
      </w:r>
    </w:p>
    <w:p>
      <w:pPr>
        <w:keepNext w:val="0"/>
        <w:keepLines w:val="0"/>
        <w:pageBreakBefore w:val="0"/>
        <w:widowControl w:val="0"/>
        <w:kinsoku/>
        <w:wordWrap/>
        <w:overflowPunct/>
        <w:topLinePunct w:val="0"/>
        <w:autoSpaceDE/>
        <w:autoSpaceDN/>
        <w:bidi w:val="0"/>
        <w:adjustRightInd/>
        <w:snapToGrid w:val="0"/>
        <w:spacing w:line="440" w:lineRule="exact"/>
        <w:ind w:firstLine="405"/>
        <w:textAlignment w:val="auto"/>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HG/T</w:t>
      </w:r>
      <w:r>
        <w:rPr>
          <w:rFonts w:hint="eastAsia" w:asciiTheme="minorEastAsia" w:hAnsiTheme="minorEastAsia" w:eastAsiaTheme="minorEastAsia"/>
          <w:color w:val="000000" w:themeColor="text1"/>
          <w:szCs w:val="21"/>
          <w:lang w:val="en-US" w:eastAsia="zh-CN"/>
        </w:rPr>
        <w:t xml:space="preserve"> </w:t>
      </w:r>
      <w:r>
        <w:rPr>
          <w:rFonts w:hint="eastAsia" w:asciiTheme="minorEastAsia" w:hAnsiTheme="minorEastAsia" w:eastAsiaTheme="minorEastAsia"/>
          <w:color w:val="000000" w:themeColor="text1"/>
          <w:szCs w:val="21"/>
        </w:rPr>
        <w:t>2727-2010聚乙酸乙烯酯乳液木材胶粘剂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17" w:firstLineChars="199"/>
        <w:rPr>
          <w:rFonts w:hint="eastAsia" w:ascii="宋体" w:hAnsi="宋体" w:eastAsia="宋体"/>
          <w:color w:val="000000"/>
          <w:szCs w:val="21"/>
          <w:lang w:val="en-US" w:eastAsia="zh-CN"/>
        </w:rPr>
      </w:pPr>
      <w:r>
        <w:rPr>
          <w:rFonts w:hint="eastAsia" w:ascii="宋体" w:hAnsi="宋体"/>
          <w:color w:val="000000"/>
          <w:szCs w:val="21"/>
        </w:rPr>
        <w:t>经检验，检验项目全部合格，判定为被抽查产品所检项目未发现不合格；检验项目中任一项或一项以上不合格，</w:t>
      </w:r>
      <w:r>
        <w:rPr>
          <w:rFonts w:hint="eastAsia" w:ascii="宋体" w:hAnsi="宋体"/>
          <w:color w:val="000000"/>
          <w:szCs w:val="21"/>
          <w:lang w:eastAsia="zh-CN"/>
        </w:rPr>
        <w:t>经双倍复验后仍不</w:t>
      </w:r>
      <w:r>
        <w:rPr>
          <w:rFonts w:hint="eastAsia" w:ascii="宋体" w:hAnsi="宋体"/>
          <w:szCs w:val="21"/>
        </w:rPr>
        <w:t>符合标准规定，</w:t>
      </w:r>
      <w:r>
        <w:rPr>
          <w:rFonts w:hint="eastAsia" w:ascii="宋体" w:hAnsi="宋体"/>
          <w:color w:val="000000"/>
          <w:szCs w:val="21"/>
        </w:rPr>
        <w:t>判定为被抽查产品不合格</w:t>
      </w:r>
      <w:r>
        <w:rPr>
          <w:rFonts w:hint="eastAsia" w:ascii="宋体" w:hAnsi="宋体"/>
          <w:color w:val="000000"/>
          <w:szCs w:val="21"/>
          <w:lang w:eastAsia="zh-CN"/>
        </w:rPr>
        <w:t>。</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rPr>
          <w:rFonts w:ascii="宋体" w:hAnsi="宋体"/>
          <w:color w:val="FF0000"/>
          <w:szCs w:val="21"/>
        </w:rPr>
      </w:pP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46D166-6A76-422E-983B-1DE7CD4AEC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script"/>
    <w:pitch w:val="default"/>
    <w:sig w:usb0="00000000" w:usb1="00000000" w:usb2="00000000" w:usb3="00000000" w:csb0="00040000" w:csb1="00000000"/>
    <w:embedRegular r:id="rId2" w:fontKey="{CACE3D4F-7D3F-48C7-983D-A8FD13B19E87}"/>
  </w:font>
  <w:font w:name="方正仿宋简体">
    <w:panose1 w:val="02000000000000000000"/>
    <w:charset w:val="86"/>
    <w:family w:val="auto"/>
    <w:pitch w:val="default"/>
    <w:sig w:usb0="A00002BF" w:usb1="184F6CFA" w:usb2="00000012" w:usb3="00000000" w:csb0="00040001" w:csb1="00000000"/>
    <w:embedRegular r:id="rId3" w:fontKey="{5FBB0AC4-6785-4CC8-9C1D-F2C2B6693B2C}"/>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A2OWU5ODBiYTQ1ZDhlNWNhMGE0ZmQ3OWIzYWVkMDIifQ=="/>
  </w:docVars>
  <w:rsids>
    <w:rsidRoot w:val="004E1C1B"/>
    <w:rsid w:val="00063497"/>
    <w:rsid w:val="00093590"/>
    <w:rsid w:val="000F6EA4"/>
    <w:rsid w:val="00291487"/>
    <w:rsid w:val="00294840"/>
    <w:rsid w:val="002E523C"/>
    <w:rsid w:val="00320FA5"/>
    <w:rsid w:val="00373B59"/>
    <w:rsid w:val="003A113D"/>
    <w:rsid w:val="004E1AD2"/>
    <w:rsid w:val="004E1C1B"/>
    <w:rsid w:val="005778B4"/>
    <w:rsid w:val="00593837"/>
    <w:rsid w:val="00600167"/>
    <w:rsid w:val="00605616"/>
    <w:rsid w:val="0064396E"/>
    <w:rsid w:val="00683C3C"/>
    <w:rsid w:val="006E7112"/>
    <w:rsid w:val="00787D84"/>
    <w:rsid w:val="00882B8A"/>
    <w:rsid w:val="008873AD"/>
    <w:rsid w:val="0092324A"/>
    <w:rsid w:val="00953298"/>
    <w:rsid w:val="00A32D6C"/>
    <w:rsid w:val="00A472C3"/>
    <w:rsid w:val="00B426B1"/>
    <w:rsid w:val="00C5543A"/>
    <w:rsid w:val="00C81E85"/>
    <w:rsid w:val="00DD24B5"/>
    <w:rsid w:val="00DD5955"/>
    <w:rsid w:val="00E81362"/>
    <w:rsid w:val="00EA5F26"/>
    <w:rsid w:val="00EB1677"/>
    <w:rsid w:val="00FC7E85"/>
    <w:rsid w:val="04BA047C"/>
    <w:rsid w:val="0B0B504F"/>
    <w:rsid w:val="0BAF04D2"/>
    <w:rsid w:val="0D7076EE"/>
    <w:rsid w:val="0E484FDB"/>
    <w:rsid w:val="122A36F2"/>
    <w:rsid w:val="14352463"/>
    <w:rsid w:val="146D0B03"/>
    <w:rsid w:val="1A400260"/>
    <w:rsid w:val="1E9E1888"/>
    <w:rsid w:val="1ED3333B"/>
    <w:rsid w:val="262C5D7E"/>
    <w:rsid w:val="309A1136"/>
    <w:rsid w:val="34DA2503"/>
    <w:rsid w:val="350C1429"/>
    <w:rsid w:val="36B54F18"/>
    <w:rsid w:val="3A420D10"/>
    <w:rsid w:val="3D025C56"/>
    <w:rsid w:val="3E504B8B"/>
    <w:rsid w:val="3E9B22D5"/>
    <w:rsid w:val="3FDF1E31"/>
    <w:rsid w:val="433A2911"/>
    <w:rsid w:val="440617A6"/>
    <w:rsid w:val="470E4133"/>
    <w:rsid w:val="488E7BA0"/>
    <w:rsid w:val="4D1733A3"/>
    <w:rsid w:val="4DD56467"/>
    <w:rsid w:val="4E857759"/>
    <w:rsid w:val="4E88543C"/>
    <w:rsid w:val="523444D7"/>
    <w:rsid w:val="56C22B64"/>
    <w:rsid w:val="56E52396"/>
    <w:rsid w:val="5B337C01"/>
    <w:rsid w:val="5DFE025F"/>
    <w:rsid w:val="60BC66D1"/>
    <w:rsid w:val="61662721"/>
    <w:rsid w:val="65DB538E"/>
    <w:rsid w:val="6BA3043B"/>
    <w:rsid w:val="6BC53DF0"/>
    <w:rsid w:val="6C0466B8"/>
    <w:rsid w:val="6C8321C7"/>
    <w:rsid w:val="7009662C"/>
    <w:rsid w:val="71DB48E3"/>
    <w:rsid w:val="74AA0985"/>
    <w:rsid w:val="7502729A"/>
    <w:rsid w:val="773D5D8E"/>
    <w:rsid w:val="7854145B"/>
    <w:rsid w:val="78933191"/>
    <w:rsid w:val="7AF0711D"/>
    <w:rsid w:val="7B6600D7"/>
    <w:rsid w:val="7DEB43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7">
    <w:name w:val="page number"/>
    <w:basedOn w:val="6"/>
    <w:autoRedefine/>
    <w:qFormat/>
    <w:uiPriority w:val="0"/>
  </w:style>
  <w:style w:type="character" w:customStyle="1" w:styleId="8">
    <w:name w:val="页脚 Char"/>
    <w:basedOn w:val="6"/>
    <w:link w:val="2"/>
    <w:autoRedefine/>
    <w:qFormat/>
    <w:uiPriority w:val="99"/>
    <w:rPr>
      <w:sz w:val="18"/>
      <w:szCs w:val="18"/>
    </w:rPr>
  </w:style>
  <w:style w:type="character" w:customStyle="1" w:styleId="9">
    <w:name w:val="页眉 Char"/>
    <w:basedOn w:val="6"/>
    <w:link w:val="3"/>
    <w:autoRedefine/>
    <w:qFormat/>
    <w:uiPriority w:val="99"/>
    <w:rPr>
      <w:sz w:val="18"/>
      <w:szCs w:val="18"/>
    </w:rPr>
  </w:style>
  <w:style w:type="character" w:customStyle="1" w:styleId="10">
    <w:name w:val="页脚 Char1"/>
    <w:basedOn w:val="6"/>
    <w:link w:val="2"/>
    <w:autoRedefine/>
    <w:semiHidden/>
    <w:qFormat/>
    <w:uiPriority w:val="99"/>
    <w:rPr>
      <w:rFonts w:ascii="Times New Roman" w:hAnsi="Times New Roman" w:eastAsia="宋体" w:cs="Times New Roman"/>
      <w:sz w:val="18"/>
      <w:szCs w:val="18"/>
    </w:rPr>
  </w:style>
  <w:style w:type="character" w:customStyle="1" w:styleId="11">
    <w:name w:val="页眉 Char1"/>
    <w:basedOn w:val="6"/>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150</Words>
  <Characters>860</Characters>
  <Lines>7</Lines>
  <Paragraphs>2</Paragraphs>
  <TotalTime>0</TotalTime>
  <ScaleCrop>false</ScaleCrop>
  <LinksUpToDate>false</LinksUpToDate>
  <CharactersWithSpaces>1008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王达达</cp:lastModifiedBy>
  <dcterms:modified xsi:type="dcterms:W3CDTF">2024-03-21T06:58:42Z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94B0465573B946249D000D4F7E3D0084</vt:lpwstr>
  </property>
</Properties>
</file>