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方正小标宋简体" w:cs="Times New Roman"/>
          <w:color w:val="000000"/>
          <w:sz w:val="32"/>
          <w:szCs w:val="32"/>
        </w:rPr>
      </w:pPr>
      <w:r>
        <w:rPr>
          <w:rFonts w:ascii="Times New Roman" w:hAnsi="Times New Roman" w:eastAsia="方正小标宋简体" w:cs="Times New Roman"/>
          <w:color w:val="000000"/>
          <w:sz w:val="32"/>
          <w:szCs w:val="32"/>
        </w:rPr>
        <w:t>重庆市春夏装产品质量监督抽查实施细则（202</w:t>
      </w:r>
      <w:del w:id="0" w:author="王达达" w:date="2024-03-21T14:31:24Z">
        <w:r>
          <w:rPr>
            <w:rFonts w:hint="default" w:ascii="Times New Roman" w:hAnsi="Times New Roman" w:eastAsia="方正小标宋简体" w:cs="Times New Roman"/>
            <w:color w:val="000000"/>
            <w:sz w:val="32"/>
            <w:szCs w:val="32"/>
            <w:lang w:val="en-US"/>
          </w:rPr>
          <w:delText>3</w:delText>
        </w:r>
      </w:del>
      <w:ins w:id="1" w:author="王达达" w:date="2024-03-21T14:31:24Z">
        <w:r>
          <w:rPr>
            <w:rFonts w:hint="eastAsia" w:ascii="Times New Roman" w:hAnsi="Times New Roman" w:eastAsia="方正小标宋简体" w:cs="Times New Roman"/>
            <w:color w:val="000000"/>
            <w:sz w:val="32"/>
            <w:szCs w:val="32"/>
            <w:lang w:val="en-US" w:eastAsia="zh-CN"/>
          </w:rPr>
          <w:t>4</w:t>
        </w:r>
      </w:ins>
      <w:r>
        <w:rPr>
          <w:rFonts w:ascii="Times New Roman" w:hAnsi="Times New Roman" w:eastAsia="方正小标宋简体" w:cs="Times New Roman"/>
          <w:color w:val="000000"/>
          <w:sz w:val="32"/>
          <w:szCs w:val="32"/>
        </w:rPr>
        <w:t>年）</w:t>
      </w:r>
    </w:p>
    <w:p>
      <w:pPr>
        <w:jc w:val="center"/>
        <w:rPr>
          <w:rFonts w:ascii="Times New Roman" w:hAnsi="Times New Roman" w:eastAsia="方正小标宋简体" w:cs="Times New Roman"/>
          <w:color w:val="000000"/>
          <w:sz w:val="32"/>
          <w:szCs w:val="32"/>
        </w:rPr>
      </w:pPr>
    </w:p>
    <w:p>
      <w:pPr>
        <w:spacing w:line="440" w:lineRule="exact"/>
        <w:rPr>
          <w:rFonts w:ascii="Times New Roman" w:hAnsi="Times New Roman" w:eastAsia="黑体" w:cs="Times New Roman"/>
          <w:color w:val="000000"/>
          <w:szCs w:val="21"/>
        </w:rPr>
      </w:pPr>
      <w:r>
        <w:rPr>
          <w:rFonts w:ascii="Times New Roman" w:hAnsi="Times New Roman" w:eastAsia="黑体" w:cs="Times New Roman"/>
          <w:color w:val="000000"/>
          <w:szCs w:val="21"/>
        </w:rPr>
        <w:t>1 抽样方法</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pPr>
        <w:snapToGrid w:val="0"/>
        <w:spacing w:line="440" w:lineRule="exact"/>
        <w:ind w:firstLine="420" w:firstLineChars="200"/>
        <w:rPr>
          <w:rFonts w:ascii="Times New Roman" w:hAnsi="Times New Roman" w:cs="Times New Roman"/>
          <w:szCs w:val="21"/>
        </w:rPr>
      </w:pPr>
      <w:r>
        <w:rPr>
          <w:rFonts w:hint="eastAsia" w:ascii="宋体" w:hAnsi="宋体"/>
          <w:color w:val="000000"/>
          <w:szCs w:val="21"/>
        </w:rPr>
        <w:t>随机数一般可使用随机数表等方法产生。</w:t>
      </w:r>
    </w:p>
    <w:p>
      <w:pPr>
        <w:snapToGrid w:val="0"/>
        <w:spacing w:line="440" w:lineRule="exact"/>
        <w:ind w:firstLine="420" w:firstLineChars="200"/>
        <w:rPr>
          <w:rFonts w:ascii="Times New Roman" w:hAnsi="Times New Roman" w:cs="Times New Roman"/>
          <w:szCs w:val="21"/>
        </w:rPr>
      </w:pPr>
      <w:r>
        <w:rPr>
          <w:rFonts w:hint="eastAsia" w:ascii="Times New Roman" w:hAnsi="Times New Roman" w:cs="Times New Roman"/>
          <w:szCs w:val="21"/>
        </w:rPr>
        <w:t>每批次</w:t>
      </w:r>
      <w:r>
        <w:rPr>
          <w:rFonts w:ascii="Times New Roman" w:hAnsi="Times New Roman" w:cs="Times New Roman"/>
          <w:szCs w:val="21"/>
        </w:rPr>
        <w:t>抽取</w:t>
      </w:r>
      <w:r>
        <w:rPr>
          <w:color w:val="000000"/>
          <w:szCs w:val="21"/>
        </w:rPr>
        <w:t>同一生产者按照同一标准生产的同一商标、同一款式（货/款号）、同一花型颜色及材料的</w:t>
      </w:r>
      <w:r>
        <w:rPr>
          <w:rFonts w:ascii="Times New Roman" w:hAnsi="Times New Roman" w:cs="Times New Roman"/>
          <w:szCs w:val="21"/>
        </w:rPr>
        <w:t>样品2件/套/条，其中1件/套/条作为检验样品，1件/套/条作为备用样品。短裤类产品每批次抽取样品3条，其中2条作为检验样品，1条作为备用样品。</w:t>
      </w:r>
    </w:p>
    <w:p>
      <w:pPr>
        <w:snapToGrid w:val="0"/>
        <w:spacing w:line="440" w:lineRule="exact"/>
        <w:ind w:firstLine="420" w:firstLineChars="200"/>
        <w:rPr>
          <w:rFonts w:ascii="Times New Roman" w:hAnsi="Times New Roman" w:cs="Times New Roman"/>
          <w:color w:val="000000"/>
          <w:szCs w:val="21"/>
        </w:rPr>
      </w:pPr>
    </w:p>
    <w:p>
      <w:pPr>
        <w:spacing w:line="440" w:lineRule="exact"/>
        <w:rPr>
          <w:rFonts w:ascii="Times New Roman" w:hAnsi="Times New Roman" w:eastAsia="黑体" w:cs="Times New Roman"/>
          <w:color w:val="000000"/>
          <w:szCs w:val="21"/>
        </w:rPr>
      </w:pPr>
      <w:r>
        <w:rPr>
          <w:rFonts w:ascii="Times New Roman" w:hAnsi="Times New Roman" w:eastAsia="黑体" w:cs="Times New Roman"/>
          <w:color w:val="000000"/>
          <w:szCs w:val="21"/>
        </w:rPr>
        <w:t>2 检验依据</w:t>
      </w:r>
    </w:p>
    <w:p>
      <w:pPr>
        <w:spacing w:line="360" w:lineRule="auto"/>
        <w:ind w:left="420" w:hanging="420" w:hangingChars="200"/>
        <w:contextualSpacing/>
        <w:rPr>
          <w:rFonts w:ascii="Times New Roman" w:hAnsi="Times New Roman" w:cs="Times New Roman"/>
          <w:szCs w:val="21"/>
        </w:rPr>
      </w:pP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995"/>
        <w:gridCol w:w="3519"/>
        <w:gridCol w:w="3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tblHeader/>
          <w:jc w:val="center"/>
        </w:trPr>
        <w:tc>
          <w:tcPr>
            <w:tcW w:w="589" w:type="pct"/>
            <w:tcMar>
              <w:top w:w="0" w:type="dxa"/>
              <w:left w:w="70" w:type="dxa"/>
              <w:bottom w:w="0" w:type="dxa"/>
              <w:right w:w="70" w:type="dxa"/>
            </w:tcMar>
            <w:vAlign w:val="center"/>
          </w:tcPr>
          <w:p>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序号</w:t>
            </w:r>
          </w:p>
        </w:tc>
        <w:tc>
          <w:tcPr>
            <w:tcW w:w="2083" w:type="pct"/>
            <w:tcMar>
              <w:top w:w="0" w:type="dxa"/>
              <w:left w:w="70" w:type="dxa"/>
              <w:bottom w:w="0" w:type="dxa"/>
              <w:right w:w="70" w:type="dxa"/>
            </w:tcMar>
            <w:vAlign w:val="center"/>
          </w:tcPr>
          <w:p>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检验项目</w:t>
            </w:r>
          </w:p>
        </w:tc>
        <w:tc>
          <w:tcPr>
            <w:tcW w:w="2328" w:type="pct"/>
            <w:tcMar>
              <w:top w:w="0" w:type="dxa"/>
              <w:left w:w="70" w:type="dxa"/>
              <w:bottom w:w="0" w:type="dxa"/>
              <w:right w:w="70" w:type="dxa"/>
            </w:tcMar>
            <w:vAlign w:val="center"/>
          </w:tcPr>
          <w:p>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589" w:type="pct"/>
            <w:tcMar>
              <w:top w:w="0" w:type="dxa"/>
              <w:left w:w="70" w:type="dxa"/>
              <w:bottom w:w="0" w:type="dxa"/>
              <w:right w:w="70" w:type="dxa"/>
            </w:tcMar>
            <w:vAlign w:val="center"/>
          </w:tcPr>
          <w:p>
            <w:pPr>
              <w:numPr>
                <w:ilvl w:val="0"/>
                <w:numId w:val="1"/>
              </w:numPr>
              <w:tabs>
                <w:tab w:val="clear" w:pos="420"/>
              </w:tabs>
              <w:spacing w:line="440" w:lineRule="exact"/>
              <w:ind w:left="0" w:firstLine="0"/>
              <w:jc w:val="center"/>
              <w:rPr>
                <w:rFonts w:ascii="Times New Roman" w:hAnsi="Times New Roman" w:cs="Times New Roman"/>
                <w:color w:val="000000"/>
                <w:szCs w:val="21"/>
              </w:rPr>
            </w:pPr>
          </w:p>
        </w:tc>
        <w:tc>
          <w:tcPr>
            <w:tcW w:w="2083" w:type="pct"/>
            <w:tcMar>
              <w:top w:w="0" w:type="dxa"/>
              <w:left w:w="70" w:type="dxa"/>
              <w:bottom w:w="0" w:type="dxa"/>
              <w:right w:w="70" w:type="dxa"/>
            </w:tcMar>
            <w:vAlign w:val="center"/>
          </w:tcPr>
          <w:p>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甲醛含量</w:t>
            </w:r>
          </w:p>
        </w:tc>
        <w:tc>
          <w:tcPr>
            <w:tcW w:w="2328" w:type="pct"/>
            <w:tcMar>
              <w:top w:w="0" w:type="dxa"/>
              <w:left w:w="70" w:type="dxa"/>
              <w:bottom w:w="0" w:type="dxa"/>
              <w:right w:w="70" w:type="dxa"/>
            </w:tcMar>
            <w:vAlign w:val="center"/>
          </w:tcPr>
          <w:p>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 18401-2010</w:t>
            </w:r>
          </w:p>
          <w:p>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GB/T 2912.1-2009</w:t>
            </w:r>
          </w:p>
          <w:p>
            <w:pPr>
              <w:spacing w:line="440" w:lineRule="exact"/>
              <w:jc w:val="center"/>
              <w:rPr>
                <w:rFonts w:ascii="Times New Roman" w:hAnsi="Times New Roman" w:cs="Times New Roman"/>
                <w:color w:val="000000"/>
                <w:szCs w:val="21"/>
              </w:rPr>
            </w:pPr>
            <w:r>
              <w:rPr>
                <w:rFonts w:hint="eastAsia" w:ascii="Times New Roman" w:hAnsi="Times New Roman" w:cs="Times New Roman"/>
                <w:color w:val="000000"/>
                <w:szCs w:val="21"/>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589" w:type="pct"/>
            <w:tcMar>
              <w:top w:w="0" w:type="dxa"/>
              <w:left w:w="70" w:type="dxa"/>
              <w:bottom w:w="0" w:type="dxa"/>
              <w:right w:w="70" w:type="dxa"/>
            </w:tcMar>
            <w:vAlign w:val="center"/>
          </w:tcPr>
          <w:p>
            <w:pPr>
              <w:numPr>
                <w:ilvl w:val="0"/>
                <w:numId w:val="1"/>
              </w:numPr>
              <w:tabs>
                <w:tab w:val="clear" w:pos="420"/>
              </w:tabs>
              <w:spacing w:line="440" w:lineRule="exact"/>
              <w:ind w:left="0" w:firstLine="0"/>
              <w:jc w:val="center"/>
              <w:rPr>
                <w:rFonts w:ascii="Times New Roman" w:hAnsi="Times New Roman" w:cs="Times New Roman"/>
                <w:color w:val="000000"/>
                <w:szCs w:val="21"/>
              </w:rPr>
            </w:pPr>
          </w:p>
        </w:tc>
        <w:tc>
          <w:tcPr>
            <w:tcW w:w="2083" w:type="pct"/>
            <w:tcMar>
              <w:top w:w="0" w:type="dxa"/>
              <w:left w:w="70" w:type="dxa"/>
              <w:bottom w:w="0" w:type="dxa"/>
              <w:right w:w="70" w:type="dxa"/>
            </w:tcMar>
            <w:vAlign w:val="center"/>
          </w:tcPr>
          <w:p>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pH值</w:t>
            </w:r>
          </w:p>
        </w:tc>
        <w:tc>
          <w:tcPr>
            <w:tcW w:w="2328" w:type="pct"/>
            <w:tcMar>
              <w:top w:w="0" w:type="dxa"/>
              <w:left w:w="70" w:type="dxa"/>
              <w:bottom w:w="0" w:type="dxa"/>
              <w:right w:w="70" w:type="dxa"/>
            </w:tcMar>
            <w:vAlign w:val="center"/>
          </w:tcPr>
          <w:p>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 18401-2010</w:t>
            </w:r>
          </w:p>
          <w:p>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GB/T 7573-2009</w:t>
            </w:r>
          </w:p>
          <w:p>
            <w:pPr>
              <w:spacing w:line="440" w:lineRule="exact"/>
              <w:jc w:val="center"/>
              <w:rPr>
                <w:rFonts w:ascii="Times New Roman" w:hAnsi="Times New Roman" w:cs="Times New Roman"/>
                <w:color w:val="000000"/>
                <w:szCs w:val="21"/>
              </w:rPr>
            </w:pPr>
            <w:r>
              <w:rPr>
                <w:rFonts w:hint="eastAsia" w:ascii="Times New Roman" w:hAnsi="Times New Roman" w:cs="Times New Roman"/>
                <w:color w:val="000000"/>
                <w:szCs w:val="21"/>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589" w:type="pct"/>
            <w:tcMar>
              <w:top w:w="0" w:type="dxa"/>
              <w:left w:w="70" w:type="dxa"/>
              <w:bottom w:w="0" w:type="dxa"/>
              <w:right w:w="70" w:type="dxa"/>
            </w:tcMar>
            <w:vAlign w:val="center"/>
          </w:tcPr>
          <w:p>
            <w:pPr>
              <w:numPr>
                <w:ilvl w:val="0"/>
                <w:numId w:val="1"/>
              </w:numPr>
              <w:tabs>
                <w:tab w:val="clear" w:pos="420"/>
              </w:tabs>
              <w:spacing w:line="440" w:lineRule="exact"/>
              <w:ind w:left="0" w:firstLine="0"/>
              <w:jc w:val="center"/>
              <w:rPr>
                <w:rFonts w:ascii="Times New Roman" w:hAnsi="Times New Roman" w:cs="Times New Roman"/>
                <w:color w:val="000000"/>
                <w:szCs w:val="21"/>
              </w:rPr>
            </w:pPr>
          </w:p>
        </w:tc>
        <w:tc>
          <w:tcPr>
            <w:tcW w:w="2083" w:type="pct"/>
            <w:tcMar>
              <w:top w:w="0" w:type="dxa"/>
              <w:left w:w="70" w:type="dxa"/>
              <w:bottom w:w="0" w:type="dxa"/>
              <w:right w:w="70" w:type="dxa"/>
            </w:tcMar>
            <w:vAlign w:val="center"/>
          </w:tcPr>
          <w:p>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可分解致癌芳香胺染料</w:t>
            </w:r>
            <w:r>
              <w:rPr>
                <w:rFonts w:ascii="Times New Roman" w:hAnsi="Times New Roman" w:cs="Times New Roman"/>
                <w:color w:val="000000"/>
                <w:szCs w:val="21"/>
                <w:vertAlign w:val="superscript"/>
              </w:rPr>
              <w:t>①</w:t>
            </w:r>
          </w:p>
        </w:tc>
        <w:tc>
          <w:tcPr>
            <w:tcW w:w="2328" w:type="pct"/>
            <w:tcMar>
              <w:top w:w="0" w:type="dxa"/>
              <w:left w:w="70" w:type="dxa"/>
              <w:bottom w:w="0" w:type="dxa"/>
              <w:right w:w="70" w:type="dxa"/>
            </w:tcMar>
            <w:vAlign w:val="center"/>
          </w:tcPr>
          <w:p>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 18401-2010</w:t>
            </w:r>
          </w:p>
          <w:p>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GB/T 17592-2011</w:t>
            </w:r>
          </w:p>
          <w:p>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GB/T 23344-2009</w:t>
            </w:r>
          </w:p>
          <w:p>
            <w:pPr>
              <w:spacing w:line="440" w:lineRule="exact"/>
              <w:jc w:val="center"/>
              <w:rPr>
                <w:rFonts w:ascii="Times New Roman" w:hAnsi="Times New Roman" w:cs="Times New Roman"/>
                <w:color w:val="000000"/>
                <w:szCs w:val="21"/>
              </w:rPr>
            </w:pPr>
            <w:r>
              <w:rPr>
                <w:rFonts w:hint="eastAsia" w:ascii="Times New Roman" w:hAnsi="Times New Roman" w:cs="Times New Roman"/>
                <w:color w:val="000000"/>
                <w:szCs w:val="21"/>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589" w:type="pct"/>
            <w:tcMar>
              <w:top w:w="0" w:type="dxa"/>
              <w:left w:w="70" w:type="dxa"/>
              <w:bottom w:w="0" w:type="dxa"/>
              <w:right w:w="70" w:type="dxa"/>
            </w:tcMar>
            <w:vAlign w:val="center"/>
          </w:tcPr>
          <w:p>
            <w:pPr>
              <w:numPr>
                <w:ilvl w:val="0"/>
                <w:numId w:val="1"/>
              </w:numPr>
              <w:tabs>
                <w:tab w:val="clear" w:pos="420"/>
              </w:tabs>
              <w:spacing w:line="440" w:lineRule="exact"/>
              <w:ind w:left="0" w:firstLine="0"/>
              <w:jc w:val="center"/>
              <w:rPr>
                <w:rFonts w:ascii="Times New Roman" w:hAnsi="Times New Roman" w:cs="Times New Roman"/>
                <w:color w:val="000000"/>
                <w:szCs w:val="21"/>
              </w:rPr>
            </w:pPr>
          </w:p>
        </w:tc>
        <w:tc>
          <w:tcPr>
            <w:tcW w:w="2083" w:type="pct"/>
            <w:tcMar>
              <w:top w:w="0" w:type="dxa"/>
              <w:left w:w="70" w:type="dxa"/>
              <w:bottom w:w="0" w:type="dxa"/>
              <w:right w:w="70" w:type="dxa"/>
            </w:tcMar>
            <w:vAlign w:val="center"/>
          </w:tcPr>
          <w:p>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耐干摩擦色牢度</w:t>
            </w:r>
          </w:p>
        </w:tc>
        <w:tc>
          <w:tcPr>
            <w:tcW w:w="2328" w:type="pct"/>
            <w:tcMar>
              <w:top w:w="0" w:type="dxa"/>
              <w:left w:w="70" w:type="dxa"/>
              <w:bottom w:w="0" w:type="dxa"/>
              <w:right w:w="70" w:type="dxa"/>
            </w:tcMar>
            <w:vAlign w:val="center"/>
          </w:tcPr>
          <w:p>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 18401-2010</w:t>
            </w:r>
          </w:p>
          <w:p>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GB/T 3920-2008</w:t>
            </w:r>
          </w:p>
          <w:p>
            <w:pPr>
              <w:spacing w:line="440" w:lineRule="exact"/>
              <w:jc w:val="center"/>
              <w:rPr>
                <w:rFonts w:ascii="Times New Roman" w:hAnsi="Times New Roman" w:cs="Times New Roman"/>
                <w:color w:val="000000"/>
                <w:szCs w:val="21"/>
              </w:rPr>
            </w:pPr>
            <w:r>
              <w:rPr>
                <w:rFonts w:hint="eastAsia" w:ascii="Times New Roman" w:hAnsi="Times New Roman" w:cs="Times New Roman"/>
                <w:color w:val="000000"/>
                <w:szCs w:val="21"/>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589" w:type="pct"/>
            <w:tcMar>
              <w:top w:w="0" w:type="dxa"/>
              <w:left w:w="70" w:type="dxa"/>
              <w:bottom w:w="0" w:type="dxa"/>
              <w:right w:w="70" w:type="dxa"/>
            </w:tcMar>
            <w:vAlign w:val="center"/>
          </w:tcPr>
          <w:p>
            <w:pPr>
              <w:numPr>
                <w:ilvl w:val="0"/>
                <w:numId w:val="1"/>
              </w:numPr>
              <w:tabs>
                <w:tab w:val="clear" w:pos="420"/>
              </w:tabs>
              <w:spacing w:line="440" w:lineRule="exact"/>
              <w:ind w:left="0" w:firstLine="0"/>
              <w:jc w:val="center"/>
              <w:rPr>
                <w:rFonts w:ascii="Times New Roman" w:hAnsi="Times New Roman" w:cs="Times New Roman"/>
                <w:color w:val="000000"/>
                <w:szCs w:val="21"/>
              </w:rPr>
            </w:pPr>
          </w:p>
        </w:tc>
        <w:tc>
          <w:tcPr>
            <w:tcW w:w="2083" w:type="pct"/>
            <w:tcMar>
              <w:top w:w="0" w:type="dxa"/>
              <w:left w:w="70" w:type="dxa"/>
              <w:bottom w:w="0" w:type="dxa"/>
              <w:right w:w="70" w:type="dxa"/>
            </w:tcMar>
            <w:vAlign w:val="center"/>
          </w:tcPr>
          <w:p>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纤维含量</w:t>
            </w:r>
          </w:p>
        </w:tc>
        <w:tc>
          <w:tcPr>
            <w:tcW w:w="2328" w:type="pct"/>
            <w:tcMar>
              <w:top w:w="0" w:type="dxa"/>
              <w:left w:w="70" w:type="dxa"/>
              <w:bottom w:w="0" w:type="dxa"/>
              <w:right w:w="70" w:type="dxa"/>
            </w:tcMar>
            <w:vAlign w:val="center"/>
          </w:tcPr>
          <w:p>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GB/T 29862-2013</w:t>
            </w:r>
          </w:p>
          <w:p>
            <w:pPr>
              <w:spacing w:line="440" w:lineRule="exact"/>
              <w:jc w:val="center"/>
              <w:rPr>
                <w:rFonts w:ascii="Times New Roman" w:hAnsi="Times New Roman" w:cs="Times New Roman"/>
                <w:color w:val="000000"/>
                <w:szCs w:val="21"/>
              </w:rPr>
            </w:pPr>
            <w:r>
              <w:rPr>
                <w:rFonts w:hint="eastAsia" w:ascii="Times New Roman" w:hAnsi="Times New Roman" w:cs="Times New Roman"/>
                <w:color w:val="000000"/>
                <w:szCs w:val="21"/>
              </w:rPr>
              <w:t>FZ/T 01057.1～6-2007</w:t>
            </w:r>
          </w:p>
          <w:p>
            <w:pPr>
              <w:spacing w:line="440" w:lineRule="exact"/>
              <w:jc w:val="center"/>
              <w:rPr>
                <w:ins w:id="2" w:author="JD" w:date="2023-04-06T15:59:00Z"/>
                <w:rFonts w:ascii="Times New Roman" w:hAnsi="Times New Roman" w:cs="Times New Roman"/>
                <w:szCs w:val="21"/>
              </w:rPr>
            </w:pPr>
            <w:r>
              <w:rPr>
                <w:rFonts w:ascii="Times New Roman" w:hAnsi="Times New Roman" w:cs="Times New Roman"/>
                <w:szCs w:val="21"/>
              </w:rPr>
              <w:t>GB/T 2910.1～24-2009</w:t>
            </w:r>
            <w:r>
              <w:rPr>
                <w:rFonts w:ascii="Times New Roman" w:hAnsi="Times New Roman" w:cs="Times New Roman"/>
                <w:szCs w:val="21"/>
              </w:rPr>
              <w:br w:type="textWrapping"/>
            </w:r>
            <w:r>
              <w:rPr>
                <w:rFonts w:ascii="Times New Roman" w:hAnsi="Times New Roman" w:cs="Times New Roman"/>
                <w:szCs w:val="21"/>
              </w:rPr>
              <w:t>GB/T 2910.101-2009</w:t>
            </w:r>
          </w:p>
          <w:p>
            <w:pPr>
              <w:spacing w:line="440" w:lineRule="exact"/>
              <w:jc w:val="center"/>
              <w:rPr>
                <w:rFonts w:ascii="Times New Roman" w:hAnsi="Times New Roman" w:cs="Times New Roman"/>
                <w:szCs w:val="21"/>
              </w:rPr>
            </w:pPr>
            <w:ins w:id="3" w:author="JD" w:date="2023-04-06T15:59:00Z">
              <w:r>
                <w:rPr>
                  <w:rFonts w:ascii="Times New Roman" w:hAnsi="Times New Roman" w:cs="Times New Roman"/>
                  <w:szCs w:val="21"/>
                </w:rPr>
                <w:t>GB/T 2910.4-2022</w:t>
              </w:r>
            </w:ins>
            <w:r>
              <w:rPr>
                <w:rFonts w:ascii="Times New Roman" w:hAnsi="Times New Roman" w:cs="Times New Roman"/>
                <w:szCs w:val="21"/>
              </w:rPr>
              <w:br w:type="textWrapping"/>
            </w:r>
            <w:r>
              <w:rPr>
                <w:rFonts w:ascii="Times New Roman" w:hAnsi="Times New Roman" w:cs="Times New Roman"/>
                <w:szCs w:val="21"/>
              </w:rPr>
              <w:t>GB/T 16988-2013</w:t>
            </w:r>
          </w:p>
          <w:p>
            <w:pPr>
              <w:spacing w:line="440" w:lineRule="exact"/>
              <w:jc w:val="center"/>
              <w:rPr>
                <w:rFonts w:ascii="Times New Roman" w:hAnsi="Times New Roman" w:cs="Times New Roman"/>
                <w:szCs w:val="21"/>
              </w:rPr>
            </w:pPr>
            <w:r>
              <w:rPr>
                <w:rFonts w:ascii="Times New Roman" w:hAnsi="Times New Roman" w:cs="Times New Roman"/>
                <w:szCs w:val="21"/>
              </w:rPr>
              <w:t>GB/T 32198-2015</w:t>
            </w:r>
            <w:r>
              <w:rPr>
                <w:rFonts w:ascii="Times New Roman" w:hAnsi="Times New Roman" w:cs="Times New Roman"/>
                <w:szCs w:val="21"/>
              </w:rPr>
              <w:br w:type="textWrapping"/>
            </w:r>
            <w:r>
              <w:rPr>
                <w:rFonts w:ascii="Times New Roman" w:hAnsi="Times New Roman" w:cs="Times New Roman"/>
                <w:szCs w:val="21"/>
              </w:rPr>
              <w:t>FZ/T 01026-2017</w:t>
            </w:r>
            <w:r>
              <w:rPr>
                <w:rFonts w:ascii="Times New Roman" w:hAnsi="Times New Roman" w:cs="Times New Roman"/>
                <w:szCs w:val="21"/>
              </w:rPr>
              <w:br w:type="textWrapping"/>
            </w:r>
            <w:r>
              <w:rPr>
                <w:rFonts w:ascii="Times New Roman" w:hAnsi="Times New Roman" w:cs="Times New Roman"/>
                <w:szCs w:val="21"/>
              </w:rPr>
              <w:t>FZ/T 01095-2002</w:t>
            </w:r>
            <w:r>
              <w:rPr>
                <w:rFonts w:ascii="Times New Roman" w:hAnsi="Times New Roman" w:cs="Times New Roman"/>
                <w:szCs w:val="21"/>
              </w:rPr>
              <w:br w:type="textWrapping"/>
            </w:r>
            <w:r>
              <w:rPr>
                <w:rFonts w:ascii="Times New Roman" w:hAnsi="Times New Roman" w:cs="Times New Roman"/>
                <w:szCs w:val="21"/>
              </w:rPr>
              <w:t>FZ/T 01101-2008</w:t>
            </w:r>
            <w:r>
              <w:rPr>
                <w:rFonts w:ascii="Times New Roman" w:hAnsi="Times New Roman" w:cs="Times New Roman"/>
                <w:szCs w:val="21"/>
              </w:rPr>
              <w:br w:type="textWrapping"/>
            </w:r>
            <w:r>
              <w:rPr>
                <w:rFonts w:ascii="Times New Roman" w:hAnsi="Times New Roman" w:cs="Times New Roman"/>
                <w:szCs w:val="21"/>
              </w:rPr>
              <w:t>FZ/T 01103-2009</w:t>
            </w:r>
            <w:r>
              <w:rPr>
                <w:rFonts w:ascii="Times New Roman" w:hAnsi="Times New Roman" w:cs="Times New Roman"/>
                <w:szCs w:val="21"/>
              </w:rPr>
              <w:br w:type="textWrapping"/>
            </w:r>
            <w:r>
              <w:rPr>
                <w:rFonts w:ascii="Times New Roman" w:hAnsi="Times New Roman" w:cs="Times New Roman"/>
                <w:szCs w:val="21"/>
              </w:rPr>
              <w:t>FZ/T 01112-2012</w:t>
            </w:r>
            <w:r>
              <w:rPr>
                <w:rFonts w:ascii="Times New Roman" w:hAnsi="Times New Roman" w:cs="Times New Roman"/>
                <w:szCs w:val="21"/>
              </w:rPr>
              <w:br w:type="textWrapping"/>
            </w:r>
            <w:r>
              <w:rPr>
                <w:rFonts w:ascii="Times New Roman" w:hAnsi="Times New Roman" w:cs="Times New Roman"/>
                <w:szCs w:val="21"/>
              </w:rPr>
              <w:t>FZ/T 01131-2016</w:t>
            </w:r>
            <w:r>
              <w:rPr>
                <w:rFonts w:ascii="Times New Roman" w:hAnsi="Times New Roman" w:cs="Times New Roman"/>
                <w:szCs w:val="21"/>
              </w:rPr>
              <w:br w:type="textWrapping"/>
            </w:r>
            <w:r>
              <w:rPr>
                <w:rFonts w:ascii="Times New Roman" w:hAnsi="Times New Roman" w:cs="Times New Roman"/>
                <w:szCs w:val="21"/>
              </w:rPr>
              <w:t>FZ/T 01132-2016</w:t>
            </w:r>
            <w:r>
              <w:rPr>
                <w:rFonts w:ascii="Times New Roman" w:hAnsi="Times New Roman" w:cs="Times New Roman"/>
                <w:szCs w:val="21"/>
              </w:rPr>
              <w:br w:type="textWrapping"/>
            </w:r>
            <w:r>
              <w:rPr>
                <w:rFonts w:ascii="Times New Roman" w:hAnsi="Times New Roman" w:cs="Times New Roman"/>
                <w:szCs w:val="21"/>
              </w:rPr>
              <w:t>FZ/T 30003-2009</w:t>
            </w:r>
            <w:r>
              <w:rPr>
                <w:rFonts w:ascii="Times New Roman" w:hAnsi="Times New Roman" w:cs="Times New Roman"/>
                <w:szCs w:val="21"/>
              </w:rPr>
              <w:br w:type="textWrapping"/>
            </w:r>
            <w:r>
              <w:rPr>
                <w:rFonts w:ascii="Times New Roman" w:hAnsi="Times New Roman" w:cs="Times New Roman"/>
                <w:szCs w:val="21"/>
              </w:rPr>
              <w:t>FZ/T 40005-2009</w:t>
            </w:r>
          </w:p>
          <w:p>
            <w:pPr>
              <w:spacing w:line="440" w:lineRule="exact"/>
              <w:jc w:val="center"/>
              <w:rPr>
                <w:rFonts w:ascii="Times New Roman" w:hAnsi="Times New Roman" w:cs="Times New Roman"/>
                <w:color w:val="000000"/>
                <w:szCs w:val="21"/>
              </w:rPr>
            </w:pPr>
            <w:r>
              <w:rPr>
                <w:rFonts w:hint="eastAsia" w:ascii="Times New Roman" w:hAnsi="Times New Roman" w:cs="Times New Roman"/>
                <w:color w:val="000000"/>
                <w:szCs w:val="21"/>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589" w:type="pct"/>
            <w:tcMar>
              <w:top w:w="0" w:type="dxa"/>
              <w:left w:w="70" w:type="dxa"/>
              <w:bottom w:w="0" w:type="dxa"/>
              <w:right w:w="70" w:type="dxa"/>
            </w:tcMar>
            <w:vAlign w:val="center"/>
          </w:tcPr>
          <w:p>
            <w:pPr>
              <w:numPr>
                <w:ilvl w:val="0"/>
                <w:numId w:val="1"/>
              </w:numPr>
              <w:tabs>
                <w:tab w:val="clear" w:pos="420"/>
              </w:tabs>
              <w:spacing w:line="440" w:lineRule="exact"/>
              <w:ind w:left="0" w:firstLine="0"/>
              <w:jc w:val="center"/>
              <w:rPr>
                <w:rFonts w:ascii="Times New Roman" w:hAnsi="Times New Roman" w:cs="Times New Roman"/>
                <w:color w:val="000000"/>
                <w:szCs w:val="21"/>
              </w:rPr>
            </w:pPr>
          </w:p>
        </w:tc>
        <w:tc>
          <w:tcPr>
            <w:tcW w:w="2083" w:type="pct"/>
            <w:tcMar>
              <w:top w:w="0" w:type="dxa"/>
              <w:left w:w="70" w:type="dxa"/>
              <w:bottom w:w="0" w:type="dxa"/>
              <w:right w:w="70" w:type="dxa"/>
            </w:tcMar>
            <w:vAlign w:val="center"/>
          </w:tcPr>
          <w:p>
            <w:pPr>
              <w:spacing w:line="440" w:lineRule="exact"/>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耐湿摩擦色牢度</w:t>
            </w:r>
          </w:p>
        </w:tc>
        <w:tc>
          <w:tcPr>
            <w:tcW w:w="2328" w:type="pct"/>
            <w:tcMar>
              <w:top w:w="0" w:type="dxa"/>
              <w:left w:w="70" w:type="dxa"/>
              <w:bottom w:w="0" w:type="dxa"/>
              <w:right w:w="70" w:type="dxa"/>
            </w:tcMar>
            <w:vAlign w:val="center"/>
          </w:tcPr>
          <w:p>
            <w:pPr>
              <w:spacing w:line="440" w:lineRule="exact"/>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GB/T 3920-2008</w:t>
            </w:r>
          </w:p>
          <w:p>
            <w:pPr>
              <w:spacing w:line="440" w:lineRule="exact"/>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589" w:type="pct"/>
            <w:tcMar>
              <w:top w:w="0" w:type="dxa"/>
              <w:left w:w="70" w:type="dxa"/>
              <w:bottom w:w="0" w:type="dxa"/>
              <w:right w:w="70" w:type="dxa"/>
            </w:tcMar>
            <w:vAlign w:val="center"/>
          </w:tcPr>
          <w:p>
            <w:pPr>
              <w:numPr>
                <w:ilvl w:val="0"/>
                <w:numId w:val="1"/>
              </w:numPr>
              <w:tabs>
                <w:tab w:val="clear" w:pos="420"/>
              </w:tabs>
              <w:spacing w:line="440" w:lineRule="exact"/>
              <w:ind w:left="0" w:firstLine="0"/>
              <w:jc w:val="center"/>
              <w:rPr>
                <w:rFonts w:ascii="Times New Roman" w:hAnsi="Times New Roman" w:cs="Times New Roman"/>
                <w:color w:val="000000"/>
                <w:szCs w:val="21"/>
              </w:rPr>
            </w:pPr>
          </w:p>
        </w:tc>
        <w:tc>
          <w:tcPr>
            <w:tcW w:w="2083" w:type="pct"/>
            <w:tcMar>
              <w:top w:w="0" w:type="dxa"/>
              <w:left w:w="70" w:type="dxa"/>
              <w:bottom w:w="0" w:type="dxa"/>
              <w:right w:w="70" w:type="dxa"/>
            </w:tcMar>
            <w:vAlign w:val="center"/>
          </w:tcPr>
          <w:p>
            <w:pPr>
              <w:spacing w:line="440" w:lineRule="exact"/>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耐光色牢度</w:t>
            </w:r>
          </w:p>
        </w:tc>
        <w:tc>
          <w:tcPr>
            <w:tcW w:w="2328" w:type="pct"/>
            <w:tcMar>
              <w:top w:w="0" w:type="dxa"/>
              <w:left w:w="70" w:type="dxa"/>
              <w:bottom w:w="0" w:type="dxa"/>
              <w:right w:w="70" w:type="dxa"/>
            </w:tcMar>
            <w:vAlign w:val="center"/>
          </w:tcPr>
          <w:p>
            <w:pPr>
              <w:spacing w:line="440" w:lineRule="exact"/>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 xml:space="preserve">GB/T </w:t>
            </w:r>
            <w:r>
              <w:rPr>
                <w:rFonts w:hint="eastAsia" w:ascii="Times New Roman" w:hAnsi="Times New Roman" w:cs="Times New Roman"/>
                <w:color w:val="000000" w:themeColor="text1"/>
                <w:szCs w:val="21"/>
                <w14:textFill>
                  <w14:solidFill>
                    <w14:schemeClr w14:val="tx1"/>
                  </w14:solidFill>
                </w14:textFill>
              </w:rPr>
              <w:t>8427-2008</w:t>
            </w:r>
          </w:p>
          <w:p>
            <w:pPr>
              <w:spacing w:line="440" w:lineRule="exact"/>
              <w:jc w:val="center"/>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GB/T 8427-2019</w:t>
            </w:r>
          </w:p>
          <w:p>
            <w:pPr>
              <w:spacing w:line="440" w:lineRule="exact"/>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589" w:type="pct"/>
            <w:tcMar>
              <w:top w:w="0" w:type="dxa"/>
              <w:left w:w="70" w:type="dxa"/>
              <w:bottom w:w="0" w:type="dxa"/>
              <w:right w:w="70" w:type="dxa"/>
            </w:tcMar>
            <w:vAlign w:val="center"/>
          </w:tcPr>
          <w:p>
            <w:pPr>
              <w:numPr>
                <w:ilvl w:val="0"/>
                <w:numId w:val="1"/>
              </w:numPr>
              <w:tabs>
                <w:tab w:val="clear" w:pos="420"/>
              </w:tabs>
              <w:spacing w:line="440" w:lineRule="exact"/>
              <w:ind w:left="0" w:firstLine="0"/>
              <w:jc w:val="center"/>
              <w:rPr>
                <w:rFonts w:ascii="Times New Roman" w:hAnsi="Times New Roman" w:cs="Times New Roman"/>
                <w:color w:val="000000"/>
                <w:szCs w:val="21"/>
              </w:rPr>
            </w:pPr>
          </w:p>
        </w:tc>
        <w:tc>
          <w:tcPr>
            <w:tcW w:w="2083" w:type="pct"/>
            <w:tcMar>
              <w:top w:w="0" w:type="dxa"/>
              <w:left w:w="70" w:type="dxa"/>
              <w:bottom w:w="0" w:type="dxa"/>
              <w:right w:w="70" w:type="dxa"/>
            </w:tcMar>
            <w:vAlign w:val="center"/>
          </w:tcPr>
          <w:p>
            <w:pPr>
              <w:spacing w:line="440" w:lineRule="exact"/>
              <w:jc w:val="center"/>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耐皂洗色牢度</w:t>
            </w:r>
          </w:p>
        </w:tc>
        <w:tc>
          <w:tcPr>
            <w:tcW w:w="2328" w:type="pct"/>
            <w:tcMar>
              <w:top w:w="0" w:type="dxa"/>
              <w:left w:w="70" w:type="dxa"/>
              <w:bottom w:w="0" w:type="dxa"/>
              <w:right w:w="70" w:type="dxa"/>
            </w:tcMar>
            <w:vAlign w:val="center"/>
          </w:tcPr>
          <w:p>
            <w:pPr>
              <w:spacing w:line="440" w:lineRule="exact"/>
              <w:jc w:val="center"/>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GB/T 3921-2008</w:t>
            </w:r>
          </w:p>
          <w:p>
            <w:pPr>
              <w:spacing w:line="440" w:lineRule="exact"/>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589" w:type="pct"/>
            <w:tcMar>
              <w:top w:w="0" w:type="dxa"/>
              <w:left w:w="70" w:type="dxa"/>
              <w:bottom w:w="0" w:type="dxa"/>
              <w:right w:w="70" w:type="dxa"/>
            </w:tcMar>
            <w:vAlign w:val="center"/>
          </w:tcPr>
          <w:p>
            <w:pPr>
              <w:numPr>
                <w:ilvl w:val="0"/>
                <w:numId w:val="1"/>
              </w:numPr>
              <w:tabs>
                <w:tab w:val="clear" w:pos="420"/>
              </w:tabs>
              <w:spacing w:line="440" w:lineRule="exact"/>
              <w:ind w:left="0" w:firstLine="0"/>
              <w:jc w:val="center"/>
              <w:rPr>
                <w:rFonts w:ascii="Times New Roman" w:hAnsi="Times New Roman" w:cs="Times New Roman"/>
                <w:color w:val="000000"/>
                <w:szCs w:val="21"/>
              </w:rPr>
            </w:pPr>
          </w:p>
        </w:tc>
        <w:tc>
          <w:tcPr>
            <w:tcW w:w="2083" w:type="pct"/>
            <w:tcMar>
              <w:top w:w="0" w:type="dxa"/>
              <w:left w:w="70" w:type="dxa"/>
              <w:bottom w:w="0" w:type="dxa"/>
              <w:right w:w="70" w:type="dxa"/>
            </w:tcMar>
            <w:vAlign w:val="center"/>
          </w:tcPr>
          <w:p>
            <w:pPr>
              <w:spacing w:line="440" w:lineRule="exact"/>
              <w:jc w:val="center"/>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撕破强力</w:t>
            </w:r>
          </w:p>
        </w:tc>
        <w:tc>
          <w:tcPr>
            <w:tcW w:w="2328" w:type="pct"/>
            <w:tcMar>
              <w:top w:w="0" w:type="dxa"/>
              <w:left w:w="70" w:type="dxa"/>
              <w:bottom w:w="0" w:type="dxa"/>
              <w:right w:w="70" w:type="dxa"/>
            </w:tcMar>
            <w:vAlign w:val="center"/>
          </w:tcPr>
          <w:p>
            <w:pPr>
              <w:spacing w:line="440" w:lineRule="exact"/>
              <w:jc w:val="center"/>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GB/T 3917.1-2009</w:t>
            </w:r>
          </w:p>
          <w:p>
            <w:pPr>
              <w:spacing w:line="440" w:lineRule="exact"/>
              <w:jc w:val="center"/>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GB/T 3917.2-2009</w:t>
            </w:r>
          </w:p>
          <w:p>
            <w:pPr>
              <w:spacing w:line="440" w:lineRule="exact"/>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5000" w:type="pct"/>
            <w:gridSpan w:val="3"/>
            <w:tcMar>
              <w:top w:w="0" w:type="dxa"/>
              <w:left w:w="70" w:type="dxa"/>
              <w:bottom w:w="0" w:type="dxa"/>
              <w:right w:w="70" w:type="dxa"/>
            </w:tcMar>
            <w:vAlign w:val="center"/>
          </w:tcPr>
          <w:p>
            <w:pPr>
              <w:spacing w:line="440" w:lineRule="exact"/>
              <w:jc w:val="left"/>
              <w:rPr>
                <w:rFonts w:ascii="Times New Roman" w:hAnsi="Times New Roman" w:cs="Times New Roman"/>
                <w:color w:val="000000"/>
                <w:szCs w:val="21"/>
              </w:rPr>
            </w:pPr>
            <w:r>
              <w:rPr>
                <w:rFonts w:ascii="Times New Roman" w:hAnsi="Times New Roman" w:cs="Times New Roman"/>
                <w:color w:val="000000"/>
                <w:szCs w:val="21"/>
              </w:rPr>
              <w:t>备注：</w:t>
            </w:r>
          </w:p>
          <w:p>
            <w:pPr>
              <w:spacing w:line="440" w:lineRule="exact"/>
              <w:jc w:val="left"/>
              <w:rPr>
                <w:rFonts w:ascii="Times New Roman" w:hAnsi="Times New Roman" w:cs="Times New Roman"/>
                <w:color w:val="000000"/>
                <w:szCs w:val="21"/>
              </w:rPr>
            </w:pPr>
            <w:r>
              <w:rPr>
                <w:rFonts w:ascii="Times New Roman" w:hAnsi="Times New Roman" w:cs="Times New Roman"/>
                <w:color w:val="000000"/>
                <w:szCs w:val="21"/>
              </w:rPr>
              <w:t>A、①纺织品可分解致癌芳香胺染料检测采用GC/MS定性，出现阳性结果时用HPLC/DAD进一步确认和定量；</w:t>
            </w:r>
          </w:p>
          <w:p>
            <w:pPr>
              <w:spacing w:line="440" w:lineRule="exact"/>
              <w:jc w:val="left"/>
              <w:rPr>
                <w:rFonts w:ascii="Times New Roman" w:hAnsi="Times New Roman" w:cs="Times New Roman"/>
                <w:color w:val="000000"/>
                <w:szCs w:val="21"/>
              </w:rPr>
            </w:pPr>
            <w:r>
              <w:rPr>
                <w:rFonts w:ascii="Times New Roman" w:hAnsi="Times New Roman" w:cs="Times New Roman"/>
                <w:color w:val="000000"/>
                <w:szCs w:val="21"/>
              </w:rPr>
              <w:t>B、若样品量不能满足所有试验要求，按照纤维含量、可分解致癌芳香胺染料、甲醛含量、pH值、耐</w:t>
            </w:r>
            <w:r>
              <w:rPr>
                <w:rFonts w:hint="eastAsia" w:ascii="Times New Roman" w:hAnsi="Times New Roman" w:cs="Times New Roman"/>
                <w:color w:val="000000"/>
                <w:szCs w:val="21"/>
              </w:rPr>
              <w:t>湿</w:t>
            </w:r>
            <w:r>
              <w:rPr>
                <w:rFonts w:ascii="Times New Roman" w:hAnsi="Times New Roman" w:cs="Times New Roman"/>
                <w:color w:val="000000"/>
                <w:szCs w:val="21"/>
              </w:rPr>
              <w:t>摩擦色牢度、耐</w:t>
            </w:r>
            <w:r>
              <w:rPr>
                <w:rFonts w:hint="eastAsia" w:ascii="Times New Roman" w:hAnsi="Times New Roman" w:cs="Times New Roman"/>
                <w:color w:val="000000"/>
                <w:szCs w:val="21"/>
              </w:rPr>
              <w:t>干</w:t>
            </w:r>
            <w:r>
              <w:rPr>
                <w:rFonts w:ascii="Times New Roman" w:hAnsi="Times New Roman" w:cs="Times New Roman"/>
                <w:color w:val="000000"/>
                <w:szCs w:val="21"/>
              </w:rPr>
              <w:t>摩擦色牢度、</w:t>
            </w:r>
            <w:r>
              <w:rPr>
                <w:rFonts w:hint="eastAsia" w:ascii="Times New Roman" w:hAnsi="Times New Roman" w:cs="Times New Roman"/>
                <w:color w:val="000000"/>
                <w:szCs w:val="21"/>
              </w:rPr>
              <w:t>耐皂洗色牢度、</w:t>
            </w:r>
            <w:r>
              <w:rPr>
                <w:rFonts w:ascii="Times New Roman" w:hAnsi="Times New Roman" w:cs="Times New Roman"/>
                <w:color w:val="000000"/>
                <w:szCs w:val="21"/>
              </w:rPr>
              <w:t>耐光色牢度</w:t>
            </w:r>
            <w:r>
              <w:rPr>
                <w:rFonts w:hint="eastAsia" w:ascii="Times New Roman" w:hAnsi="Times New Roman" w:cs="Times New Roman"/>
                <w:color w:val="000000"/>
                <w:szCs w:val="21"/>
              </w:rPr>
              <w:t>、撕破强力</w:t>
            </w:r>
            <w:r>
              <w:rPr>
                <w:rFonts w:ascii="Times New Roman" w:hAnsi="Times New Roman" w:cs="Times New Roman"/>
                <w:color w:val="000000"/>
                <w:szCs w:val="21"/>
              </w:rPr>
              <w:t>的取样顺序进行检测；</w:t>
            </w:r>
          </w:p>
          <w:p>
            <w:pPr>
              <w:spacing w:line="440" w:lineRule="exact"/>
              <w:jc w:val="left"/>
              <w:rPr>
                <w:rFonts w:ascii="Times New Roman" w:hAnsi="Times New Roman" w:eastAsia="宋体" w:cs="Times New Roman"/>
              </w:rPr>
            </w:pPr>
            <w:r>
              <w:rPr>
                <w:rFonts w:ascii="Times New Roman" w:hAnsi="Times New Roman" w:cs="Times New Roman"/>
                <w:color w:val="000000"/>
                <w:szCs w:val="21"/>
              </w:rPr>
              <w:t>C、</w:t>
            </w:r>
            <w:r>
              <w:rPr>
                <w:rFonts w:ascii="Times New Roman" w:hAnsi="Times New Roman" w:eastAsia="宋体" w:cs="Times New Roman"/>
              </w:rPr>
              <w:t>当样品形状、大小或重量等不能满足某个检测项目的样品需求时，该项目不予考核</w:t>
            </w:r>
            <w:r>
              <w:rPr>
                <w:rFonts w:hint="eastAsia" w:ascii="Times New Roman" w:hAnsi="Times New Roman" w:eastAsia="宋体" w:cs="Times New Roman"/>
              </w:rPr>
              <w:t>；</w:t>
            </w:r>
          </w:p>
          <w:p>
            <w:pPr>
              <w:spacing w:line="440" w:lineRule="exact"/>
              <w:jc w:val="left"/>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eastAsia="宋体" w:cs="Times New Roman"/>
              </w:rPr>
              <w:t>D、</w:t>
            </w:r>
            <w:r>
              <w:rPr>
                <w:rFonts w:hint="eastAsia" w:ascii="Times New Roman" w:hAnsi="Times New Roman"/>
                <w:bCs/>
                <w:szCs w:val="21"/>
              </w:rPr>
              <w:t>当样品明示产品标准为推荐性国家标准或行业标准时，标准中未要求的检验项目不予考核。</w:t>
            </w:r>
          </w:p>
        </w:tc>
      </w:tr>
    </w:tbl>
    <w:p>
      <w:pPr>
        <w:snapToGrid w:val="0"/>
        <w:spacing w:line="440" w:lineRule="exact"/>
        <w:ind w:firstLine="420" w:firstLineChars="200"/>
        <w:rPr>
          <w:rFonts w:ascii="Times New Roman" w:hAnsi="Times New Roman" w:cs="Times New Roman"/>
          <w:color w:val="000000"/>
          <w:szCs w:val="21"/>
        </w:rPr>
      </w:pPr>
      <w:r>
        <w:rPr>
          <w:rFonts w:hint="eastAsia" w:ascii="Times New Roman" w:hAnsi="Times New Roman" w:cs="Times New Roman"/>
          <w:color w:val="000000"/>
          <w:szCs w:val="21"/>
        </w:rPr>
        <w:t>执行企业标准、团体标准、地方标准的产品，检验项目参照上述内容执行。</w:t>
      </w:r>
    </w:p>
    <w:p>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凡是注日期的文件，其随后所有的修改单（不包括勘误的内容）或修订版不适用于本细则。</w:t>
      </w:r>
      <w:r>
        <w:rPr>
          <w:rFonts w:hint="eastAsia" w:ascii="Times New Roman" w:hAnsi="Times New Roman" w:cs="Times New Roman"/>
          <w:color w:val="000000"/>
          <w:szCs w:val="21"/>
        </w:rPr>
        <w:t>凡是不注日期的文件，其最新版本适用于本细则。</w:t>
      </w:r>
    </w:p>
    <w:p>
      <w:pPr>
        <w:spacing w:line="440" w:lineRule="exact"/>
        <w:rPr>
          <w:rFonts w:ascii="Times New Roman" w:hAnsi="Times New Roman" w:eastAsia="黑体" w:cs="Times New Roman"/>
          <w:color w:val="000000"/>
          <w:szCs w:val="21"/>
        </w:rPr>
      </w:pPr>
      <w:r>
        <w:rPr>
          <w:rFonts w:ascii="Times New Roman" w:hAnsi="Times New Roman" w:eastAsia="黑体" w:cs="Times New Roman"/>
          <w:color w:val="000000"/>
          <w:szCs w:val="21"/>
        </w:rPr>
        <w:t>3 判定规则</w:t>
      </w:r>
    </w:p>
    <w:p>
      <w:pPr>
        <w:spacing w:line="440" w:lineRule="exact"/>
        <w:rPr>
          <w:rFonts w:ascii="Times New Roman" w:hAnsi="Times New Roman" w:cs="Times New Roman"/>
          <w:color w:val="000000"/>
          <w:szCs w:val="21"/>
        </w:rPr>
      </w:pPr>
      <w:r>
        <w:rPr>
          <w:rFonts w:ascii="Times New Roman" w:hAnsi="Times New Roman" w:cs="Times New Roman"/>
          <w:color w:val="000000"/>
          <w:szCs w:val="21"/>
        </w:rPr>
        <w:t>3.1依据标准</w:t>
      </w:r>
    </w:p>
    <w:p>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GB 18401-2010 国家纺织产品基本安全技术规范</w:t>
      </w:r>
    </w:p>
    <w:p>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GB/T 29862-2013 纺织品纤维含量的标志</w:t>
      </w:r>
    </w:p>
    <w:p>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GB/T 2660-2017 衬衫</w:t>
      </w:r>
    </w:p>
    <w:p>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GB/T 2662-2017</w:t>
      </w:r>
      <w:r>
        <w:rPr>
          <w:rFonts w:hint="eastAsia" w:ascii="Times New Roman" w:hAnsi="Times New Roman" w:cs="Times New Roman"/>
          <w:color w:val="000000"/>
          <w:szCs w:val="21"/>
        </w:rPr>
        <w:t xml:space="preserve"> </w:t>
      </w:r>
      <w:r>
        <w:rPr>
          <w:rFonts w:ascii="Times New Roman" w:hAnsi="Times New Roman" w:cs="Times New Roman"/>
          <w:color w:val="000000"/>
          <w:szCs w:val="21"/>
        </w:rPr>
        <w:t>棉服装</w:t>
      </w:r>
    </w:p>
    <w:p>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GB/T 2664-2017 男西服、大衣</w:t>
      </w:r>
    </w:p>
    <w:p>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GB/T 2665-2017 女西服、大衣</w:t>
      </w:r>
    </w:p>
    <w:p>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GB/T 2666-2017 西裤</w:t>
      </w:r>
    </w:p>
    <w:p>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GB/T 22700-2016 水洗整理服装</w:t>
      </w:r>
    </w:p>
    <w:p>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GB/T 22849-2014 针织T恤衫</w:t>
      </w:r>
    </w:p>
    <w:p>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GB/T 26384-2011 针织棉服装</w:t>
      </w:r>
    </w:p>
    <w:p>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GB/T 26385-2011 针织拼接服装</w:t>
      </w:r>
    </w:p>
    <w:p>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GB/T 22853-2019 针织运动服</w:t>
      </w:r>
    </w:p>
    <w:p>
      <w:pPr>
        <w:snapToGrid w:val="0"/>
        <w:spacing w:line="440" w:lineRule="exact"/>
        <w:ind w:firstLine="420" w:firstLineChars="200"/>
        <w:rPr>
          <w:rFonts w:ascii="Times New Roman" w:hAnsi="Times New Roman" w:cs="Times New Roman"/>
          <w:szCs w:val="21"/>
        </w:rPr>
      </w:pPr>
      <w:r>
        <w:rPr>
          <w:rFonts w:ascii="Times New Roman" w:hAnsi="Times New Roman" w:cs="Times New Roman"/>
          <w:szCs w:val="21"/>
        </w:rPr>
        <w:t>GB/T 32614-2016 户外运动服装 冲锋衣</w:t>
      </w:r>
    </w:p>
    <w:p>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GB/T 18132-2016 丝绸服装</w:t>
      </w:r>
    </w:p>
    <w:p>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FZ/T 73010-2016 针织工艺衫</w:t>
      </w:r>
    </w:p>
    <w:p>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FZ/T 73020-2019 针织休闲服装</w:t>
      </w:r>
    </w:p>
    <w:p>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FZ/T 73056-2016</w:t>
      </w:r>
      <w:r>
        <w:rPr>
          <w:rFonts w:hint="eastAsia" w:ascii="Times New Roman" w:hAnsi="Times New Roman" w:cs="Times New Roman"/>
          <w:color w:val="000000"/>
          <w:szCs w:val="21"/>
        </w:rPr>
        <w:t xml:space="preserve"> </w:t>
      </w:r>
      <w:r>
        <w:rPr>
          <w:rFonts w:ascii="Times New Roman" w:hAnsi="Times New Roman" w:cs="Times New Roman"/>
          <w:color w:val="000000"/>
          <w:szCs w:val="21"/>
        </w:rPr>
        <w:t>针织西服</w:t>
      </w:r>
    </w:p>
    <w:p>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FZ/T 81017-2012 非粘合衬西服</w:t>
      </w:r>
    </w:p>
    <w:p>
      <w:pPr>
        <w:snapToGrid w:val="0"/>
        <w:spacing w:line="440" w:lineRule="exact"/>
        <w:ind w:firstLine="420" w:firstLineChars="200"/>
        <w:rPr>
          <w:rFonts w:ascii="Times New Roman" w:hAnsi="Times New Roman" w:cs="Times New Roman"/>
          <w:color w:val="000000"/>
          <w:szCs w:val="21"/>
        </w:rPr>
      </w:pPr>
      <w:r>
        <w:rPr>
          <w:rFonts w:hint="eastAsia" w:ascii="Times New Roman" w:hAnsi="Times New Roman" w:cs="Times New Roman"/>
          <w:color w:val="000000"/>
          <w:szCs w:val="21"/>
        </w:rPr>
        <w:t>FZ/T 81017-2022 全毛衬西服</w:t>
      </w:r>
    </w:p>
    <w:p>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FZ/T 73026-2014 针织裙、裙套</w:t>
      </w:r>
    </w:p>
    <w:p>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FZ/T 73029-2019 针织裤</w:t>
      </w:r>
    </w:p>
    <w:p>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FZ/T 73032-2017 针织牛仔服装</w:t>
      </w:r>
    </w:p>
    <w:p>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FZ/T 73043-2020 针织衬衫</w:t>
      </w:r>
    </w:p>
    <w:p>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FZ/T 73064-2019</w:t>
      </w:r>
      <w:r>
        <w:rPr>
          <w:rFonts w:hint="eastAsia" w:ascii="Times New Roman" w:hAnsi="Times New Roman" w:cs="Times New Roman"/>
          <w:color w:val="000000"/>
          <w:szCs w:val="21"/>
        </w:rPr>
        <w:t xml:space="preserve"> </w:t>
      </w:r>
      <w:r>
        <w:rPr>
          <w:rFonts w:ascii="Times New Roman" w:hAnsi="Times New Roman" w:cs="Times New Roman"/>
          <w:color w:val="000000"/>
          <w:szCs w:val="21"/>
        </w:rPr>
        <w:t>针织西裤</w:t>
      </w:r>
    </w:p>
    <w:p>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FZ/T 73067-2020 接触凉感针织服装</w:t>
      </w:r>
    </w:p>
    <w:p>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FZ/T 74007-2019 户外防晒皮肤衣</w:t>
      </w:r>
    </w:p>
    <w:p>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FZ/T 73061-2019 针织茄克衫</w:t>
      </w:r>
    </w:p>
    <w:p>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FZ/T 73062-2019 针织沙滩服</w:t>
      </w:r>
    </w:p>
    <w:p>
      <w:pPr>
        <w:snapToGrid w:val="0"/>
        <w:spacing w:line="440" w:lineRule="exact"/>
        <w:ind w:firstLine="420" w:firstLineChars="200"/>
        <w:rPr>
          <w:rFonts w:ascii="Times New Roman" w:hAnsi="Times New Roman" w:cs="Times New Roman"/>
          <w:color w:val="000000"/>
          <w:szCs w:val="21"/>
        </w:rPr>
      </w:pPr>
      <w:r>
        <w:rPr>
          <w:rFonts w:hint="eastAsia" w:ascii="Times New Roman" w:hAnsi="Times New Roman" w:cs="Times New Roman"/>
          <w:color w:val="000000"/>
          <w:szCs w:val="21"/>
        </w:rPr>
        <w:t>FZ/T 43015-2021 桑蚕丝针织服装</w:t>
      </w:r>
    </w:p>
    <w:p>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FZ/T 81016-2016 莨绸服装</w:t>
      </w:r>
    </w:p>
    <w:p>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FZ/T 81004-2012 连衣裙、裙套</w:t>
      </w:r>
    </w:p>
    <w:p>
      <w:pPr>
        <w:snapToGrid w:val="0"/>
        <w:spacing w:line="440" w:lineRule="exact"/>
        <w:ind w:firstLine="420" w:firstLineChars="200"/>
        <w:rPr>
          <w:rFonts w:ascii="Times New Roman" w:hAnsi="Times New Roman" w:cs="Times New Roman"/>
          <w:color w:val="000000"/>
          <w:szCs w:val="21"/>
        </w:rPr>
      </w:pPr>
      <w:r>
        <w:rPr>
          <w:rFonts w:hint="eastAsia" w:ascii="Times New Roman" w:hAnsi="Times New Roman" w:cs="Times New Roman"/>
          <w:color w:val="000000"/>
          <w:szCs w:val="21"/>
        </w:rPr>
        <w:t>FZ/T 81004-2022 连衣裙、裙套</w:t>
      </w:r>
    </w:p>
    <w:p>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FZ/T 81006-2017 牛仔服装</w:t>
      </w:r>
    </w:p>
    <w:p>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FZ/T 81007-2012 单、夹服装</w:t>
      </w:r>
    </w:p>
    <w:p>
      <w:pPr>
        <w:snapToGrid w:val="0"/>
        <w:spacing w:line="440" w:lineRule="exact"/>
        <w:ind w:firstLine="420" w:firstLineChars="200"/>
        <w:rPr>
          <w:rFonts w:ascii="Times New Roman" w:hAnsi="Times New Roman" w:cs="Times New Roman"/>
          <w:color w:val="000000"/>
          <w:szCs w:val="21"/>
        </w:rPr>
      </w:pPr>
      <w:r>
        <w:rPr>
          <w:rFonts w:hint="eastAsia" w:ascii="Times New Roman" w:hAnsi="Times New Roman" w:cs="Times New Roman"/>
          <w:color w:val="000000"/>
          <w:szCs w:val="21"/>
        </w:rPr>
        <w:t>FZ/T 81007-2022 单、夹服装</w:t>
      </w:r>
    </w:p>
    <w:p>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FZ/T 81008-2011 茄克衫</w:t>
      </w:r>
    </w:p>
    <w:p>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FZ/T 81008-2021 茄克衫</w:t>
      </w:r>
    </w:p>
    <w:p>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FZ/T 81010-2018 风衣</w:t>
      </w:r>
    </w:p>
    <w:p>
      <w:pPr>
        <w:snapToGrid w:val="0"/>
        <w:spacing w:line="440" w:lineRule="exact"/>
        <w:ind w:firstLine="420" w:firstLineChars="200"/>
        <w:rPr>
          <w:del w:id="4" w:author="ZL" w:date="2024-03-21T16:58:44Z"/>
          <w:rFonts w:ascii="Times New Roman" w:hAnsi="Times New Roman" w:cs="Times New Roman"/>
          <w:color w:val="000000"/>
          <w:szCs w:val="21"/>
        </w:rPr>
      </w:pPr>
      <w:del w:id="5" w:author="ZL" w:date="2024-03-21T16:58:44Z">
        <w:bookmarkStart w:id="0" w:name="_GoBack"/>
        <w:bookmarkEnd w:id="0"/>
        <w:r>
          <w:rPr>
            <w:rFonts w:ascii="Times New Roman" w:hAnsi="Times New Roman" w:cs="Times New Roman"/>
            <w:color w:val="000000"/>
            <w:szCs w:val="21"/>
          </w:rPr>
          <w:delText>相关的法律、行政法规、部门规章、规范性文件</w:delText>
        </w:r>
      </w:del>
    </w:p>
    <w:p>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现行有效的企业标准、团体标准、地方标准及产品明示质量要求</w:t>
      </w:r>
    </w:p>
    <w:p>
      <w:pPr>
        <w:spacing w:line="440" w:lineRule="exact"/>
        <w:rPr>
          <w:rFonts w:ascii="Times New Roman" w:hAnsi="Times New Roman" w:cs="Times New Roman"/>
          <w:color w:val="000000"/>
          <w:szCs w:val="21"/>
        </w:rPr>
      </w:pPr>
      <w:r>
        <w:rPr>
          <w:rFonts w:ascii="Times New Roman" w:hAnsi="Times New Roman" w:cs="Times New Roman"/>
          <w:color w:val="000000"/>
          <w:szCs w:val="21"/>
        </w:rPr>
        <w:t>3.2判定原则</w:t>
      </w:r>
    </w:p>
    <w:p>
      <w:pPr>
        <w:pStyle w:val="2"/>
        <w:adjustRightInd w:val="0"/>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经检验，检验项目全部合格，判定为被抽查产品所检项目未发现不合格；检验项目中任一项或一项以上不合格，判定为被抽查产品不合格。</w:t>
      </w:r>
    </w:p>
    <w:p>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若被检产品明示的质量要求高于本细则中检验项目依据的标准要求时，应按被检产品明示的质量要求判定。</w:t>
      </w:r>
    </w:p>
    <w:p>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若被检产品明示的质量要求低于本细则中检验项目依据的强制性标准要求时，应按照强制性标准要求判定。</w:t>
      </w:r>
    </w:p>
    <w:p>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若被检产品明示的质量要求低于或包含细则中检验项目依据的推荐性标准要求时，应以被检产品明示的质量要求判定。</w:t>
      </w:r>
    </w:p>
    <w:p>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若被检产品明示的质量要求缺少本细则中检验项目依据的强制性标准要求时，应按照强制性标准要求判定。</w:t>
      </w:r>
    </w:p>
    <w:p>
      <w:pPr>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themeColor="text1"/>
          <w14:textFill>
            <w14:solidFill>
              <w14:schemeClr w14:val="tx1"/>
            </w14:solidFill>
          </w14:textFill>
        </w:rPr>
        <w:t>若被检产品明示的质量要求缺少本细则中检验项目依据的推荐性标准要求时，该项目不参与判定。</w:t>
      </w:r>
    </w:p>
    <w:p>
      <w:pPr>
        <w:spacing w:line="440" w:lineRule="exact"/>
        <w:ind w:firstLine="200"/>
        <w:rPr>
          <w:rFonts w:ascii="Times New Roman" w:hAnsi="Times New Roman"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21FF2D"/>
    <w:multiLevelType w:val="singleLevel"/>
    <w:tmpl w:val="9121FF2D"/>
    <w:lvl w:ilvl="0" w:tentative="0">
      <w:start w:val="1"/>
      <w:numFmt w:val="decimal"/>
      <w:lvlText w:val="%1"/>
      <w:lvlJc w:val="left"/>
      <w:pPr>
        <w:tabs>
          <w:tab w:val="left" w:pos="420"/>
        </w:tabs>
        <w:ind w:left="425" w:hanging="425"/>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王达达">
    <w15:presenceInfo w15:providerId="WPS Office" w15:userId="2772819403"/>
  </w15:person>
  <w15:person w15:author="JD">
    <w15:presenceInfo w15:providerId="None" w15:userId="JD"/>
  </w15:person>
  <w15:person w15:author="ZL">
    <w15:presenceInfo w15:providerId="None" w15:userId="Z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trackRevisions w:val="1"/>
  <w:documentProtection w:enforcement="0"/>
  <w:defaultTabStop w:val="5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2OWU5ODBiYTQ1ZDhlNWNhMGE0ZmQ3OWIzYWVkMDIifQ=="/>
  </w:docVars>
  <w:rsids>
    <w:rsidRoot w:val="007E14F3"/>
    <w:rsid w:val="000126DF"/>
    <w:rsid w:val="00060F42"/>
    <w:rsid w:val="000754B9"/>
    <w:rsid w:val="000845F1"/>
    <w:rsid w:val="0008499C"/>
    <w:rsid w:val="00091732"/>
    <w:rsid w:val="000A2363"/>
    <w:rsid w:val="00126365"/>
    <w:rsid w:val="00155870"/>
    <w:rsid w:val="00174C09"/>
    <w:rsid w:val="001A0FAF"/>
    <w:rsid w:val="001F6374"/>
    <w:rsid w:val="0021015C"/>
    <w:rsid w:val="002B7953"/>
    <w:rsid w:val="002D4C24"/>
    <w:rsid w:val="002F3E06"/>
    <w:rsid w:val="00346381"/>
    <w:rsid w:val="00352B80"/>
    <w:rsid w:val="00361522"/>
    <w:rsid w:val="003624FB"/>
    <w:rsid w:val="003E6407"/>
    <w:rsid w:val="0040152F"/>
    <w:rsid w:val="0041479A"/>
    <w:rsid w:val="004659D1"/>
    <w:rsid w:val="004718C4"/>
    <w:rsid w:val="00483232"/>
    <w:rsid w:val="004B295F"/>
    <w:rsid w:val="004B4002"/>
    <w:rsid w:val="004B5928"/>
    <w:rsid w:val="004C1BC8"/>
    <w:rsid w:val="004F6307"/>
    <w:rsid w:val="005057EB"/>
    <w:rsid w:val="00513C01"/>
    <w:rsid w:val="00523301"/>
    <w:rsid w:val="00546614"/>
    <w:rsid w:val="005540BC"/>
    <w:rsid w:val="00562DA6"/>
    <w:rsid w:val="005A1339"/>
    <w:rsid w:val="005B16C1"/>
    <w:rsid w:val="00634839"/>
    <w:rsid w:val="006A0150"/>
    <w:rsid w:val="006C3E94"/>
    <w:rsid w:val="006E54AB"/>
    <w:rsid w:val="00703D02"/>
    <w:rsid w:val="007537AD"/>
    <w:rsid w:val="00773F0B"/>
    <w:rsid w:val="007E14F3"/>
    <w:rsid w:val="007F6233"/>
    <w:rsid w:val="00867269"/>
    <w:rsid w:val="00986403"/>
    <w:rsid w:val="009C5A73"/>
    <w:rsid w:val="00A149C6"/>
    <w:rsid w:val="00A14F65"/>
    <w:rsid w:val="00A2505B"/>
    <w:rsid w:val="00AB25D1"/>
    <w:rsid w:val="00B71C09"/>
    <w:rsid w:val="00B74D7D"/>
    <w:rsid w:val="00B9577C"/>
    <w:rsid w:val="00BD5031"/>
    <w:rsid w:val="00BE555B"/>
    <w:rsid w:val="00C34F85"/>
    <w:rsid w:val="00C56BA6"/>
    <w:rsid w:val="00C811E2"/>
    <w:rsid w:val="00C917CE"/>
    <w:rsid w:val="00CE4778"/>
    <w:rsid w:val="00D23D8A"/>
    <w:rsid w:val="00D73D31"/>
    <w:rsid w:val="00D93AE1"/>
    <w:rsid w:val="00DB77BB"/>
    <w:rsid w:val="00DC2E86"/>
    <w:rsid w:val="00E843C8"/>
    <w:rsid w:val="00EA754E"/>
    <w:rsid w:val="00EA7BD9"/>
    <w:rsid w:val="00EE6CE8"/>
    <w:rsid w:val="00F723DA"/>
    <w:rsid w:val="00F87DFC"/>
    <w:rsid w:val="00FA5081"/>
    <w:rsid w:val="07905E29"/>
    <w:rsid w:val="09EB733D"/>
    <w:rsid w:val="0AAA062F"/>
    <w:rsid w:val="14424F51"/>
    <w:rsid w:val="1AA014A8"/>
    <w:rsid w:val="1AB21B91"/>
    <w:rsid w:val="296F4FC3"/>
    <w:rsid w:val="2A7C5EAC"/>
    <w:rsid w:val="2AB96010"/>
    <w:rsid w:val="32152DAC"/>
    <w:rsid w:val="42C52BBF"/>
    <w:rsid w:val="42EF4721"/>
    <w:rsid w:val="4ABD096B"/>
    <w:rsid w:val="53320A40"/>
    <w:rsid w:val="5FAD45A5"/>
    <w:rsid w:val="630B6771"/>
    <w:rsid w:val="645F2672"/>
    <w:rsid w:val="64684A3D"/>
    <w:rsid w:val="649542F5"/>
    <w:rsid w:val="65D42779"/>
    <w:rsid w:val="6A493247"/>
    <w:rsid w:val="6F65621F"/>
    <w:rsid w:val="780E497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qFormat/>
    <w:uiPriority w:val="0"/>
    <w:rPr>
      <w:rFonts w:ascii="宋体" w:hAnsi="Courier New" w:eastAsia="宋体" w:cs="Times New Roman"/>
      <w:szCs w:val="20"/>
    </w:r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semiHidden/>
    <w:unhideWhenUsed/>
    <w:qFormat/>
    <w:uiPriority w:val="99"/>
    <w:rPr>
      <w:color w:val="0000FF"/>
      <w:u w:val="single"/>
    </w:rPr>
  </w:style>
  <w:style w:type="character" w:customStyle="1" w:styleId="9">
    <w:name w:val="纯文本 字符"/>
    <w:basedOn w:val="7"/>
    <w:link w:val="2"/>
    <w:qFormat/>
    <w:uiPriority w:val="0"/>
    <w:rPr>
      <w:rFonts w:ascii="宋体" w:hAnsi="Courier New" w:eastAsia="宋体" w:cs="Times New Roman"/>
      <w:szCs w:val="20"/>
    </w:rPr>
  </w:style>
  <w:style w:type="character" w:customStyle="1" w:styleId="10">
    <w:name w:val="页眉 字符"/>
    <w:basedOn w:val="7"/>
    <w:link w:val="5"/>
    <w:qFormat/>
    <w:uiPriority w:val="99"/>
    <w:rPr>
      <w:sz w:val="18"/>
      <w:szCs w:val="18"/>
    </w:rPr>
  </w:style>
  <w:style w:type="character" w:customStyle="1" w:styleId="11">
    <w:name w:val="页脚 字符"/>
    <w:basedOn w:val="7"/>
    <w:link w:val="4"/>
    <w:qFormat/>
    <w:uiPriority w:val="99"/>
    <w:rPr>
      <w:sz w:val="18"/>
      <w:szCs w:val="18"/>
    </w:rPr>
  </w:style>
  <w:style w:type="character" w:customStyle="1" w:styleId="12">
    <w:name w:val="批注框文本 字符"/>
    <w:basedOn w:val="7"/>
    <w:link w:val="3"/>
    <w:semiHidden/>
    <w:qFormat/>
    <w:uiPriority w:val="99"/>
    <w:rPr>
      <w:kern w:val="2"/>
      <w:sz w:val="18"/>
      <w:szCs w:val="18"/>
    </w:rPr>
  </w:style>
  <w:style w:type="paragraph" w:customStyle="1" w:styleId="13">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359</Words>
  <Characters>2049</Characters>
  <Lines>17</Lines>
  <Paragraphs>4</Paragraphs>
  <TotalTime>1</TotalTime>
  <ScaleCrop>false</ScaleCrop>
  <LinksUpToDate>false</LinksUpToDate>
  <CharactersWithSpaces>2404</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2021-03-24T02:59:00Z</dcterms:created>
  <dc:creator>HP</dc:creator>
  <cp:lastModifiedBy>ZL</cp:lastModifiedBy>
  <dcterms:modified xsi:type="dcterms:W3CDTF">2024-03-21T08:58:48Z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59273C5E397045CF90493E0584AC8E7E</vt:lpwstr>
  </property>
</Properties>
</file>