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简体" w:eastAsia="宋简体" w:hAnsiTheme="minorEastAsia" w:cstheme="minorEastAsia"/>
          <w:color w:val="000000"/>
          <w:sz w:val="32"/>
          <w:szCs w:val="32"/>
        </w:rPr>
      </w:pPr>
      <w:r>
        <w:rPr>
          <w:rFonts w:hint="eastAsia" w:ascii="宋简体" w:eastAsia="宋简体" w:hAnsiTheme="minorEastAsia" w:cstheme="minorEastAsia"/>
          <w:color w:val="000000"/>
          <w:sz w:val="32"/>
          <w:szCs w:val="32"/>
        </w:rPr>
        <w:t>重庆市秋冬装产品质量监督抽查实施细则（202</w:t>
      </w:r>
      <w:del w:id="0" w:author="王达达" w:date="2024-03-19T14:46:38Z">
        <w:r>
          <w:rPr>
            <w:rFonts w:hint="default" w:ascii="宋简体" w:eastAsia="宋简体" w:hAnsiTheme="minorEastAsia" w:cstheme="minorEastAsia"/>
            <w:color w:val="000000"/>
            <w:sz w:val="32"/>
            <w:szCs w:val="32"/>
            <w:lang w:val="en-US"/>
          </w:rPr>
          <w:delText>3</w:delText>
        </w:r>
      </w:del>
      <w:ins w:id="1" w:author="王达达" w:date="2024-03-19T14:46:38Z">
        <w:r>
          <w:rPr>
            <w:rFonts w:hint="eastAsia" w:ascii="宋简体" w:eastAsia="宋简体" w:hAnsiTheme="minorEastAsia" w:cstheme="minorEastAsia"/>
            <w:color w:val="000000"/>
            <w:sz w:val="32"/>
            <w:szCs w:val="32"/>
            <w:lang w:val="en-US" w:eastAsia="zh-CN"/>
          </w:rPr>
          <w:t>4</w:t>
        </w:r>
      </w:ins>
      <w:r>
        <w:rPr>
          <w:rFonts w:hint="eastAsia" w:ascii="宋简体" w:eastAsia="宋简体" w:hAnsiTheme="minorEastAsia" w:cstheme="minorEastAsia"/>
          <w:color w:val="000000"/>
          <w:sz w:val="32"/>
          <w:szCs w:val="32"/>
        </w:rPr>
        <w:t>年）</w:t>
      </w:r>
    </w:p>
    <w:p>
      <w:pPr>
        <w:rPr>
          <w:rFonts w:ascii="宋简体" w:eastAsia="宋简体" w:hAnsiTheme="minorEastAsia" w:cstheme="minorEastAsia"/>
          <w:color w:val="000000"/>
          <w:sz w:val="32"/>
          <w:szCs w:val="32"/>
        </w:rPr>
      </w:pPr>
    </w:p>
    <w:p>
      <w:pPr>
        <w:spacing w:line="440" w:lineRule="exact"/>
        <w:rPr>
          <w:rFonts w:ascii="黑体" w:hAnsi="黑体" w:eastAsia="黑体" w:cstheme="minorEastAsia"/>
          <w:color w:val="000000"/>
          <w:szCs w:val="21"/>
        </w:rPr>
      </w:pPr>
      <w:r>
        <w:rPr>
          <w:rFonts w:ascii="黑体" w:hAnsi="黑体" w:eastAsia="黑体" w:cstheme="minorEastAsia"/>
          <w:color w:val="000000"/>
          <w:szCs w:val="21"/>
        </w:rPr>
        <w:t xml:space="preserve">1 </w:t>
      </w:r>
      <w:r>
        <w:rPr>
          <w:rFonts w:hint="eastAsia" w:ascii="黑体" w:hAnsi="黑体" w:eastAsia="黑体" w:cstheme="minorEastAsia"/>
          <w:color w:val="000000"/>
          <w:szCs w:val="21"/>
        </w:rPr>
        <w:t>抽样方法</w:t>
      </w:r>
    </w:p>
    <w:p>
      <w:pPr>
        <w:snapToGrid w:val="0"/>
        <w:spacing w:line="440" w:lineRule="exact"/>
        <w:ind w:firstLine="420" w:firstLineChars="200"/>
        <w:rPr>
          <w:rFonts w:asciiTheme="minorEastAsia" w:hAnsiTheme="minorEastAsia" w:cstheme="minorEastAsia"/>
          <w:color w:val="000000"/>
          <w:szCs w:val="21"/>
        </w:rPr>
      </w:pPr>
      <w:r>
        <w:rPr>
          <w:rFonts w:hint="eastAsia" w:asciiTheme="minorEastAsia" w:hAnsiTheme="minorEastAsia" w:cstheme="minorEastAsia"/>
          <w:szCs w:val="21"/>
        </w:rPr>
        <w:t>以随机抽样的方式在被抽样生产者、销售者的待销产品中抽取。</w:t>
      </w:r>
    </w:p>
    <w:p>
      <w:pPr>
        <w:snapToGrid w:val="0"/>
        <w:spacing w:line="44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随机数一般可使用随机数表方法产生。</w:t>
      </w:r>
    </w:p>
    <w:p>
      <w:pPr>
        <w:snapToGrid w:val="0"/>
        <w:spacing w:line="440" w:lineRule="exact"/>
        <w:ind w:firstLine="420" w:firstLineChars="200"/>
        <w:rPr>
          <w:rFonts w:asciiTheme="minorEastAsia" w:hAnsiTheme="minorEastAsia" w:cstheme="minorEastAsia"/>
          <w:szCs w:val="21"/>
        </w:rPr>
      </w:pPr>
      <w:r>
        <w:rPr>
          <w:rFonts w:hint="eastAsia" w:asciiTheme="minorEastAsia" w:hAnsiTheme="minorEastAsia" w:cstheme="minorEastAsia"/>
          <w:szCs w:val="21"/>
        </w:rPr>
        <w:t>每批次</w:t>
      </w:r>
      <w:r>
        <w:rPr>
          <w:color w:val="000000"/>
          <w:szCs w:val="21"/>
        </w:rPr>
        <w:t>抽取同一生产者按照同一标准生产的同一商标、同一款式（货/款号）、同一花型</w:t>
      </w:r>
      <w:bookmarkStart w:id="0" w:name="_GoBack"/>
      <w:bookmarkEnd w:id="0"/>
      <w:r>
        <w:rPr>
          <w:color w:val="000000"/>
          <w:szCs w:val="21"/>
        </w:rPr>
        <w:t>颜色及材料的</w:t>
      </w:r>
      <w:r>
        <w:rPr>
          <w:rFonts w:hint="eastAsia" w:asciiTheme="minorEastAsia" w:hAnsiTheme="minorEastAsia" w:cstheme="minorEastAsia"/>
          <w:szCs w:val="21"/>
        </w:rPr>
        <w:t>样品</w:t>
      </w:r>
      <w:r>
        <w:rPr>
          <w:rFonts w:hint="eastAsia" w:asciiTheme="minorEastAsia" w:hAnsiTheme="minorEastAsia" w:cstheme="minorEastAsia"/>
          <w:color w:val="000000"/>
          <w:szCs w:val="21"/>
        </w:rPr>
        <w:t>2件/条/套</w:t>
      </w:r>
      <w:r>
        <w:rPr>
          <w:rFonts w:hint="eastAsia" w:asciiTheme="minorEastAsia" w:hAnsiTheme="minorEastAsia" w:cstheme="minorEastAsia"/>
          <w:szCs w:val="21"/>
        </w:rPr>
        <w:t>，其中</w:t>
      </w:r>
      <w:r>
        <w:rPr>
          <w:rFonts w:hint="eastAsia" w:asciiTheme="minorEastAsia" w:hAnsiTheme="minorEastAsia" w:cstheme="minorEastAsia"/>
          <w:color w:val="000000"/>
          <w:szCs w:val="21"/>
        </w:rPr>
        <w:t>1件/条/套</w:t>
      </w:r>
      <w:r>
        <w:rPr>
          <w:rFonts w:hint="eastAsia" w:asciiTheme="minorEastAsia" w:hAnsiTheme="minorEastAsia" w:cstheme="minorEastAsia"/>
          <w:szCs w:val="21"/>
        </w:rPr>
        <w:t>作为检验样品，1</w:t>
      </w:r>
      <w:r>
        <w:rPr>
          <w:rFonts w:hint="eastAsia" w:asciiTheme="minorEastAsia" w:hAnsiTheme="minorEastAsia" w:cstheme="minorEastAsia"/>
          <w:color w:val="000000"/>
          <w:szCs w:val="21"/>
        </w:rPr>
        <w:t>件/条/套</w:t>
      </w:r>
      <w:r>
        <w:rPr>
          <w:rFonts w:hint="eastAsia" w:asciiTheme="minorEastAsia" w:hAnsiTheme="minorEastAsia" w:cstheme="minorEastAsia"/>
          <w:szCs w:val="21"/>
        </w:rPr>
        <w:t>作为备用样品。</w:t>
      </w:r>
    </w:p>
    <w:p>
      <w:pPr>
        <w:snapToGrid w:val="0"/>
        <w:spacing w:line="440" w:lineRule="exact"/>
        <w:ind w:firstLine="420" w:firstLineChars="200"/>
        <w:rPr>
          <w:rFonts w:asciiTheme="minorEastAsia" w:hAnsiTheme="minorEastAsia" w:cstheme="minorEastAsia"/>
          <w:color w:val="000000"/>
          <w:szCs w:val="21"/>
        </w:rPr>
      </w:pPr>
    </w:p>
    <w:p>
      <w:pPr>
        <w:spacing w:line="440" w:lineRule="exact"/>
        <w:rPr>
          <w:rFonts w:ascii="黑体" w:hAnsi="黑体" w:eastAsia="黑体" w:cstheme="minorEastAsia"/>
          <w:color w:val="000000"/>
          <w:szCs w:val="21"/>
        </w:rPr>
      </w:pPr>
      <w:r>
        <w:rPr>
          <w:rFonts w:ascii="黑体" w:hAnsi="黑体" w:eastAsia="黑体" w:cstheme="minorEastAsia"/>
          <w:color w:val="000000"/>
          <w:szCs w:val="21"/>
        </w:rPr>
        <w:t xml:space="preserve">2 </w:t>
      </w:r>
      <w:r>
        <w:rPr>
          <w:rFonts w:hint="eastAsia" w:ascii="黑体" w:hAnsi="黑体" w:eastAsia="黑体" w:cstheme="minorEastAsia"/>
          <w:color w:val="000000"/>
          <w:szCs w:val="21"/>
        </w:rPr>
        <w:t>检验依据</w:t>
      </w:r>
    </w:p>
    <w:p>
      <w:pPr>
        <w:spacing w:line="360" w:lineRule="auto"/>
        <w:contextualSpacing/>
        <w:rPr>
          <w:rFonts w:asciiTheme="minorEastAsia" w:hAnsiTheme="minorEastAsia" w:cstheme="minorEastAsia"/>
          <w:szCs w:val="21"/>
        </w:rPr>
      </w:pP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206"/>
        <w:gridCol w:w="3137"/>
        <w:gridCol w:w="4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tblHeader/>
          <w:jc w:val="center"/>
        </w:trPr>
        <w:tc>
          <w:tcPr>
            <w:tcW w:w="714" w:type="pct"/>
            <w:tcMar>
              <w:top w:w="0" w:type="dxa"/>
              <w:left w:w="70" w:type="dxa"/>
              <w:bottom w:w="0" w:type="dxa"/>
              <w:right w:w="70" w:type="dxa"/>
            </w:tcMar>
            <w:vAlign w:val="center"/>
          </w:tcPr>
          <w:p>
            <w:pPr>
              <w:spacing w:line="288" w:lineRule="auto"/>
              <w:jc w:val="center"/>
              <w:rPr>
                <w:rFonts w:asciiTheme="minorEastAsia" w:hAnsiTheme="minorEastAsia" w:cstheme="minorEastAsia"/>
                <w:color w:val="000000"/>
                <w:szCs w:val="21"/>
              </w:rPr>
            </w:pPr>
            <w:r>
              <w:rPr>
                <w:rFonts w:hint="eastAsia" w:asciiTheme="minorEastAsia" w:hAnsiTheme="minorEastAsia" w:cstheme="minorEastAsia"/>
                <w:color w:val="000000"/>
                <w:szCs w:val="21"/>
              </w:rPr>
              <w:t>序号</w:t>
            </w:r>
          </w:p>
        </w:tc>
        <w:tc>
          <w:tcPr>
            <w:tcW w:w="1858" w:type="pct"/>
            <w:tcMar>
              <w:top w:w="0" w:type="dxa"/>
              <w:left w:w="70" w:type="dxa"/>
              <w:bottom w:w="0" w:type="dxa"/>
              <w:right w:w="70" w:type="dxa"/>
            </w:tcMar>
            <w:vAlign w:val="center"/>
          </w:tcPr>
          <w:p>
            <w:pPr>
              <w:spacing w:line="288" w:lineRule="auto"/>
              <w:jc w:val="center"/>
              <w:rPr>
                <w:rFonts w:asciiTheme="minorEastAsia" w:hAnsiTheme="minorEastAsia" w:cstheme="minorEastAsia"/>
                <w:color w:val="000000"/>
                <w:szCs w:val="21"/>
              </w:rPr>
            </w:pPr>
            <w:r>
              <w:rPr>
                <w:rFonts w:hint="eastAsia" w:asciiTheme="minorEastAsia" w:hAnsiTheme="minorEastAsia" w:cstheme="minorEastAsia"/>
                <w:color w:val="000000"/>
                <w:szCs w:val="21"/>
              </w:rPr>
              <w:t>检验项目</w:t>
            </w:r>
          </w:p>
        </w:tc>
        <w:tc>
          <w:tcPr>
            <w:tcW w:w="2427" w:type="pct"/>
            <w:tcMar>
              <w:top w:w="0" w:type="dxa"/>
              <w:left w:w="70" w:type="dxa"/>
              <w:bottom w:w="0" w:type="dxa"/>
              <w:right w:w="70" w:type="dxa"/>
            </w:tcMar>
            <w:vAlign w:val="center"/>
          </w:tcPr>
          <w:p>
            <w:pPr>
              <w:spacing w:line="288" w:lineRule="auto"/>
              <w:jc w:val="center"/>
              <w:rPr>
                <w:rFonts w:asciiTheme="minorEastAsia" w:hAnsiTheme="minorEastAsia" w:cstheme="minorEastAsia"/>
                <w:color w:val="000000"/>
                <w:szCs w:val="21"/>
              </w:rPr>
            </w:pPr>
            <w:r>
              <w:rPr>
                <w:rFonts w:hint="eastAsia" w:asciiTheme="minorEastAsia" w:hAnsiTheme="minorEastAsia" w:cstheme="minorEastAsia"/>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heme="minorEastAsia" w:hAnsiTheme="minorEastAsia" w:cstheme="minorEastAsia"/>
                <w:color w:val="000000"/>
                <w:szCs w:val="21"/>
              </w:rPr>
            </w:pPr>
          </w:p>
        </w:tc>
        <w:tc>
          <w:tcPr>
            <w:tcW w:w="1858" w:type="pct"/>
            <w:tcMar>
              <w:top w:w="0" w:type="dxa"/>
              <w:left w:w="70" w:type="dxa"/>
              <w:bottom w:w="0" w:type="dxa"/>
              <w:right w:w="70" w:type="dxa"/>
            </w:tcMar>
            <w:vAlign w:val="center"/>
          </w:tcPr>
          <w:p>
            <w:pPr>
              <w:spacing w:line="288" w:lineRule="auto"/>
              <w:jc w:val="center"/>
              <w:rPr>
                <w:rFonts w:asciiTheme="minorEastAsia" w:hAnsiTheme="minorEastAsia" w:cstheme="minorEastAsia"/>
                <w:color w:val="000000"/>
                <w:szCs w:val="21"/>
              </w:rPr>
            </w:pPr>
            <w:r>
              <w:rPr>
                <w:rFonts w:hint="eastAsia" w:asciiTheme="minorEastAsia" w:hAnsiTheme="minorEastAsia" w:cstheme="minorEastAsia"/>
                <w:color w:val="000000"/>
                <w:szCs w:val="21"/>
              </w:rPr>
              <w:t>甲醛含量</w:t>
            </w:r>
          </w:p>
        </w:tc>
        <w:tc>
          <w:tcPr>
            <w:tcW w:w="2427" w:type="pct"/>
            <w:tcMar>
              <w:top w:w="0" w:type="dxa"/>
              <w:left w:w="70" w:type="dxa"/>
              <w:bottom w:w="0" w:type="dxa"/>
              <w:right w:w="70" w:type="dxa"/>
            </w:tcMar>
            <w:vAlign w:val="center"/>
          </w:tcPr>
          <w:p>
            <w:pPr>
              <w:spacing w:line="288" w:lineRule="auto"/>
              <w:jc w:val="center"/>
              <w:rPr>
                <w:rFonts w:asciiTheme="minorEastAsia" w:hAnsiTheme="minorEastAsia" w:cstheme="minorEastAsia"/>
                <w:color w:val="000000"/>
                <w:szCs w:val="21"/>
              </w:rPr>
            </w:pPr>
            <w:r>
              <w:rPr>
                <w:rFonts w:asciiTheme="minorEastAsia" w:hAnsiTheme="minorEastAsia" w:cstheme="minorEastAsia"/>
                <w:color w:val="000000"/>
                <w:szCs w:val="21"/>
              </w:rPr>
              <w:t>GB 18401-2010</w:t>
            </w:r>
          </w:p>
          <w:p>
            <w:pPr>
              <w:spacing w:line="288" w:lineRule="auto"/>
              <w:jc w:val="center"/>
              <w:rPr>
                <w:rFonts w:asciiTheme="minorEastAsia" w:hAnsiTheme="minorEastAsia" w:cstheme="minorEastAsia"/>
                <w:color w:val="000000"/>
                <w:szCs w:val="21"/>
              </w:rPr>
            </w:pPr>
            <w:r>
              <w:rPr>
                <w:rFonts w:hint="eastAsia" w:asciiTheme="minorEastAsia" w:hAnsiTheme="minorEastAsia" w:cstheme="minorEastAsia"/>
                <w:color w:val="000000"/>
                <w:szCs w:val="21"/>
              </w:rPr>
              <w:t>GB/T 2912.1-2009</w:t>
            </w:r>
          </w:p>
          <w:p>
            <w:pPr>
              <w:spacing w:line="288" w:lineRule="auto"/>
              <w:jc w:val="center"/>
              <w:rPr>
                <w:rFonts w:asciiTheme="minorEastAsia" w:hAnsiTheme="minorEastAsia" w:cstheme="minorEastAsia"/>
                <w:color w:val="000000"/>
                <w:szCs w:val="21"/>
              </w:rPr>
            </w:pPr>
            <w:r>
              <w:rPr>
                <w:rFonts w:hint="eastAsia" w:asciiTheme="minorEastAsia" w:hAnsiTheme="minorEastAsia" w:cstheme="minorEastAsia"/>
                <w:color w:val="000000"/>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heme="minorEastAsia" w:hAnsiTheme="minorEastAsia" w:cstheme="minorEastAsia"/>
                <w:color w:val="000000"/>
                <w:szCs w:val="21"/>
              </w:rPr>
            </w:pPr>
          </w:p>
        </w:tc>
        <w:tc>
          <w:tcPr>
            <w:tcW w:w="1858" w:type="pct"/>
            <w:tcMar>
              <w:top w:w="0" w:type="dxa"/>
              <w:left w:w="70" w:type="dxa"/>
              <w:bottom w:w="0" w:type="dxa"/>
              <w:right w:w="70" w:type="dxa"/>
            </w:tcMar>
            <w:vAlign w:val="center"/>
          </w:tcPr>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pH值</w:t>
            </w:r>
          </w:p>
        </w:tc>
        <w:tc>
          <w:tcPr>
            <w:tcW w:w="2427" w:type="pct"/>
            <w:tcMar>
              <w:top w:w="0" w:type="dxa"/>
              <w:left w:w="70" w:type="dxa"/>
              <w:bottom w:w="0" w:type="dxa"/>
              <w:right w:w="70" w:type="dxa"/>
            </w:tcMar>
            <w:vAlign w:val="center"/>
          </w:tcPr>
          <w:p>
            <w:pPr>
              <w:spacing w:line="288" w:lineRule="auto"/>
              <w:jc w:val="center"/>
              <w:rPr>
                <w:rFonts w:asciiTheme="minorEastAsia" w:hAnsiTheme="minorEastAsia" w:cstheme="minorEastAsia"/>
                <w:szCs w:val="21"/>
              </w:rPr>
            </w:pPr>
            <w:r>
              <w:rPr>
                <w:rFonts w:asciiTheme="minorEastAsia" w:hAnsiTheme="minorEastAsia" w:cstheme="minorEastAsia"/>
                <w:szCs w:val="21"/>
              </w:rPr>
              <w:t>GB 18401-2010</w:t>
            </w:r>
          </w:p>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GB/T 7573-2009</w:t>
            </w:r>
          </w:p>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heme="minorEastAsia" w:hAnsiTheme="minorEastAsia" w:cstheme="minorEastAsia"/>
                <w:color w:val="000000"/>
                <w:szCs w:val="21"/>
              </w:rPr>
            </w:pPr>
          </w:p>
        </w:tc>
        <w:tc>
          <w:tcPr>
            <w:tcW w:w="1858" w:type="pct"/>
            <w:tcMar>
              <w:top w:w="0" w:type="dxa"/>
              <w:left w:w="70" w:type="dxa"/>
              <w:bottom w:w="0" w:type="dxa"/>
              <w:right w:w="70" w:type="dxa"/>
            </w:tcMar>
            <w:vAlign w:val="center"/>
          </w:tcPr>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可分解致癌芳香胺染料</w:t>
            </w:r>
            <w:r>
              <w:rPr>
                <w:rFonts w:hint="eastAsia" w:asciiTheme="minorEastAsia" w:hAnsiTheme="minorEastAsia" w:cstheme="minorEastAsia"/>
                <w:szCs w:val="21"/>
                <w:vertAlign w:val="superscript"/>
              </w:rPr>
              <w:t>①</w:t>
            </w:r>
          </w:p>
        </w:tc>
        <w:tc>
          <w:tcPr>
            <w:tcW w:w="2427" w:type="pct"/>
            <w:tcMar>
              <w:top w:w="0" w:type="dxa"/>
              <w:left w:w="70" w:type="dxa"/>
              <w:bottom w:w="0" w:type="dxa"/>
              <w:right w:w="70" w:type="dxa"/>
            </w:tcMar>
            <w:vAlign w:val="center"/>
          </w:tcPr>
          <w:p>
            <w:pPr>
              <w:spacing w:line="288" w:lineRule="auto"/>
              <w:jc w:val="center"/>
              <w:rPr>
                <w:rFonts w:asciiTheme="minorEastAsia" w:hAnsiTheme="minorEastAsia" w:cstheme="minorEastAsia"/>
                <w:szCs w:val="21"/>
              </w:rPr>
            </w:pPr>
            <w:r>
              <w:rPr>
                <w:rFonts w:asciiTheme="minorEastAsia" w:hAnsiTheme="minorEastAsia" w:cstheme="minorEastAsia"/>
                <w:szCs w:val="21"/>
              </w:rPr>
              <w:t>GB 18401-2010</w:t>
            </w:r>
          </w:p>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GB/T 17592-2011</w:t>
            </w:r>
          </w:p>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GB/T 23344-2009</w:t>
            </w:r>
          </w:p>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heme="minorEastAsia" w:hAnsiTheme="minorEastAsia" w:cstheme="minorEastAsia"/>
                <w:color w:val="000000"/>
                <w:szCs w:val="21"/>
              </w:rPr>
            </w:pPr>
          </w:p>
        </w:tc>
        <w:tc>
          <w:tcPr>
            <w:tcW w:w="1858" w:type="pct"/>
            <w:tcMar>
              <w:top w:w="0" w:type="dxa"/>
              <w:left w:w="70" w:type="dxa"/>
              <w:bottom w:w="0" w:type="dxa"/>
              <w:right w:w="70" w:type="dxa"/>
            </w:tcMar>
            <w:vAlign w:val="center"/>
          </w:tcPr>
          <w:p>
            <w:pPr>
              <w:spacing w:line="288" w:lineRule="auto"/>
              <w:jc w:val="center"/>
              <w:rPr>
                <w:rFonts w:asciiTheme="minorEastAsia" w:hAnsiTheme="minorEastAsia" w:cstheme="minorEastAsia"/>
                <w:color w:val="000000"/>
                <w:szCs w:val="21"/>
              </w:rPr>
            </w:pPr>
            <w:r>
              <w:rPr>
                <w:rFonts w:hint="eastAsia" w:asciiTheme="minorEastAsia" w:hAnsiTheme="minorEastAsia" w:cstheme="minorEastAsia"/>
                <w:szCs w:val="21"/>
              </w:rPr>
              <w:t>耐干摩擦色牢度</w:t>
            </w:r>
          </w:p>
        </w:tc>
        <w:tc>
          <w:tcPr>
            <w:tcW w:w="2427" w:type="pct"/>
            <w:tcMar>
              <w:top w:w="0" w:type="dxa"/>
              <w:left w:w="70" w:type="dxa"/>
              <w:bottom w:w="0" w:type="dxa"/>
              <w:right w:w="70" w:type="dxa"/>
            </w:tcMar>
            <w:vAlign w:val="center"/>
          </w:tcPr>
          <w:p>
            <w:pPr>
              <w:spacing w:line="288" w:lineRule="auto"/>
              <w:jc w:val="center"/>
              <w:rPr>
                <w:rFonts w:asciiTheme="minorEastAsia" w:hAnsiTheme="minorEastAsia" w:cstheme="minorEastAsia"/>
                <w:szCs w:val="21"/>
              </w:rPr>
            </w:pPr>
            <w:r>
              <w:rPr>
                <w:rFonts w:asciiTheme="minorEastAsia" w:hAnsiTheme="minorEastAsia" w:cstheme="minorEastAsia"/>
                <w:szCs w:val="21"/>
              </w:rPr>
              <w:t>GB 18401-2010</w:t>
            </w:r>
          </w:p>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GB/T 3920-2008</w:t>
            </w:r>
          </w:p>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heme="minorEastAsia" w:hAnsiTheme="minorEastAsia" w:cstheme="minorEastAsia"/>
                <w:color w:val="000000"/>
                <w:szCs w:val="21"/>
              </w:rPr>
            </w:pPr>
          </w:p>
        </w:tc>
        <w:tc>
          <w:tcPr>
            <w:tcW w:w="1858" w:type="pct"/>
            <w:tcMar>
              <w:top w:w="0" w:type="dxa"/>
              <w:left w:w="70" w:type="dxa"/>
              <w:bottom w:w="0" w:type="dxa"/>
              <w:right w:w="70" w:type="dxa"/>
            </w:tcMar>
            <w:vAlign w:val="center"/>
          </w:tcPr>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耐湿摩擦色牢度</w:t>
            </w:r>
          </w:p>
        </w:tc>
        <w:tc>
          <w:tcPr>
            <w:tcW w:w="2427" w:type="pct"/>
            <w:tcMar>
              <w:top w:w="0" w:type="dxa"/>
              <w:left w:w="70" w:type="dxa"/>
              <w:bottom w:w="0" w:type="dxa"/>
              <w:right w:w="70" w:type="dxa"/>
            </w:tcMar>
            <w:vAlign w:val="center"/>
          </w:tcPr>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GB/T 3920-2008</w:t>
            </w:r>
          </w:p>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heme="minorEastAsia" w:hAnsiTheme="minorEastAsia" w:cstheme="minorEastAsia"/>
                <w:color w:val="000000"/>
                <w:szCs w:val="21"/>
              </w:rPr>
            </w:pPr>
          </w:p>
        </w:tc>
        <w:tc>
          <w:tcPr>
            <w:tcW w:w="1858" w:type="pct"/>
            <w:tcMar>
              <w:top w:w="0" w:type="dxa"/>
              <w:left w:w="70" w:type="dxa"/>
              <w:bottom w:w="0" w:type="dxa"/>
              <w:right w:w="70" w:type="dxa"/>
            </w:tcMar>
            <w:vAlign w:val="center"/>
          </w:tcPr>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起球</w:t>
            </w:r>
          </w:p>
        </w:tc>
        <w:tc>
          <w:tcPr>
            <w:tcW w:w="2427" w:type="pct"/>
            <w:tcMar>
              <w:top w:w="0" w:type="dxa"/>
              <w:left w:w="70" w:type="dxa"/>
              <w:bottom w:w="0" w:type="dxa"/>
              <w:right w:w="70" w:type="dxa"/>
            </w:tcMar>
            <w:vAlign w:val="center"/>
          </w:tcPr>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GB/T 4802.1-2008</w:t>
            </w:r>
          </w:p>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GB/T 4802.3-2008</w:t>
            </w:r>
          </w:p>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heme="minorEastAsia" w:hAnsiTheme="minorEastAsia" w:cstheme="minorEastAsia"/>
                <w:color w:val="000000"/>
                <w:szCs w:val="21"/>
              </w:rPr>
            </w:pPr>
          </w:p>
        </w:tc>
        <w:tc>
          <w:tcPr>
            <w:tcW w:w="1858" w:type="pct"/>
            <w:tcMar>
              <w:top w:w="0" w:type="dxa"/>
              <w:left w:w="70" w:type="dxa"/>
              <w:bottom w:w="0" w:type="dxa"/>
              <w:right w:w="70" w:type="dxa"/>
            </w:tcMar>
            <w:vAlign w:val="center"/>
          </w:tcPr>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耐皂洗色牢度</w:t>
            </w:r>
          </w:p>
        </w:tc>
        <w:tc>
          <w:tcPr>
            <w:tcW w:w="2427" w:type="pct"/>
            <w:tcMar>
              <w:top w:w="0" w:type="dxa"/>
              <w:left w:w="70" w:type="dxa"/>
              <w:bottom w:w="0" w:type="dxa"/>
              <w:right w:w="70" w:type="dxa"/>
            </w:tcMar>
            <w:vAlign w:val="center"/>
          </w:tcPr>
          <w:p>
            <w:pPr>
              <w:spacing w:line="288" w:lineRule="auto"/>
              <w:jc w:val="center"/>
              <w:rPr>
                <w:rFonts w:asciiTheme="minorEastAsia" w:hAnsiTheme="minorEastAsia" w:cstheme="minorEastAsia"/>
                <w:szCs w:val="21"/>
              </w:rPr>
            </w:pPr>
            <w:r>
              <w:rPr>
                <w:rFonts w:asciiTheme="minorEastAsia" w:hAnsiTheme="minorEastAsia" w:cstheme="minorEastAsia"/>
                <w:szCs w:val="21"/>
              </w:rPr>
              <w:t>GB</w:t>
            </w:r>
            <w:r>
              <w:rPr>
                <w:rFonts w:hint="eastAsia" w:asciiTheme="minorEastAsia" w:hAnsiTheme="minorEastAsia" w:cstheme="minorEastAsia"/>
                <w:szCs w:val="21"/>
              </w:rPr>
              <w:t>/</w:t>
            </w:r>
            <w:r>
              <w:rPr>
                <w:rFonts w:asciiTheme="minorEastAsia" w:hAnsiTheme="minorEastAsia" w:cstheme="minorEastAsia"/>
                <w:szCs w:val="21"/>
              </w:rPr>
              <w:t>T 3921-2008</w:t>
            </w:r>
          </w:p>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heme="minorEastAsia" w:hAnsiTheme="minorEastAsia" w:cstheme="minorEastAsia"/>
                <w:color w:val="000000"/>
                <w:szCs w:val="21"/>
              </w:rPr>
            </w:pPr>
          </w:p>
        </w:tc>
        <w:tc>
          <w:tcPr>
            <w:tcW w:w="1858" w:type="pct"/>
            <w:tcMar>
              <w:top w:w="0" w:type="dxa"/>
              <w:left w:w="70" w:type="dxa"/>
              <w:bottom w:w="0" w:type="dxa"/>
              <w:right w:w="70" w:type="dxa"/>
            </w:tcMar>
            <w:vAlign w:val="center"/>
          </w:tcPr>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耐干洗色牢度</w:t>
            </w:r>
          </w:p>
        </w:tc>
        <w:tc>
          <w:tcPr>
            <w:tcW w:w="2427" w:type="pct"/>
            <w:tcMar>
              <w:top w:w="0" w:type="dxa"/>
              <w:left w:w="70" w:type="dxa"/>
              <w:bottom w:w="0" w:type="dxa"/>
              <w:right w:w="70" w:type="dxa"/>
            </w:tcMar>
            <w:vAlign w:val="center"/>
          </w:tcPr>
          <w:p>
            <w:pPr>
              <w:spacing w:line="288" w:lineRule="auto"/>
              <w:jc w:val="center"/>
              <w:rPr>
                <w:rFonts w:asciiTheme="minorEastAsia" w:hAnsiTheme="minorEastAsia" w:cstheme="minorEastAsia"/>
                <w:szCs w:val="21"/>
              </w:rPr>
            </w:pPr>
            <w:r>
              <w:rPr>
                <w:rFonts w:asciiTheme="minorEastAsia" w:hAnsiTheme="minorEastAsia" w:cstheme="minorEastAsia"/>
                <w:szCs w:val="21"/>
              </w:rPr>
              <w:t>GB</w:t>
            </w:r>
            <w:r>
              <w:rPr>
                <w:rFonts w:hint="eastAsia" w:asciiTheme="minorEastAsia" w:hAnsiTheme="minorEastAsia" w:cstheme="minorEastAsia"/>
                <w:szCs w:val="21"/>
              </w:rPr>
              <w:t>/</w:t>
            </w:r>
            <w:r>
              <w:rPr>
                <w:rFonts w:asciiTheme="minorEastAsia" w:hAnsiTheme="minorEastAsia" w:cstheme="minorEastAsia"/>
                <w:szCs w:val="21"/>
              </w:rPr>
              <w:t>T 5711-2015</w:t>
            </w:r>
          </w:p>
          <w:p>
            <w:pPr>
              <w:spacing w:line="288" w:lineRule="auto"/>
              <w:jc w:val="center"/>
              <w:rPr>
                <w:rFonts w:asciiTheme="minorEastAsia" w:hAnsiTheme="minorEastAsia" w:cstheme="minorEastAsia"/>
                <w:szCs w:val="21"/>
              </w:rPr>
            </w:pPr>
            <w:r>
              <w:rPr>
                <w:rFonts w:hint="eastAsia" w:asciiTheme="minorEastAsia" w:hAnsiTheme="minorEastAsia" w:cstheme="minorEastAsia"/>
                <w:szCs w:val="21"/>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714" w:type="pct"/>
            <w:tcMar>
              <w:top w:w="0" w:type="dxa"/>
              <w:left w:w="70" w:type="dxa"/>
              <w:bottom w:w="0" w:type="dxa"/>
              <w:right w:w="70" w:type="dxa"/>
            </w:tcMar>
            <w:vAlign w:val="center"/>
          </w:tcPr>
          <w:p>
            <w:pPr>
              <w:numPr>
                <w:ilvl w:val="0"/>
                <w:numId w:val="1"/>
              </w:numPr>
              <w:tabs>
                <w:tab w:val="clear" w:pos="420"/>
              </w:tabs>
              <w:spacing w:line="288" w:lineRule="auto"/>
              <w:ind w:left="0" w:firstLine="0"/>
              <w:jc w:val="center"/>
              <w:rPr>
                <w:rFonts w:asciiTheme="minorEastAsia" w:hAnsiTheme="minorEastAsia" w:cstheme="minorEastAsia"/>
                <w:color w:val="000000"/>
                <w:szCs w:val="21"/>
              </w:rPr>
            </w:pPr>
          </w:p>
        </w:tc>
        <w:tc>
          <w:tcPr>
            <w:tcW w:w="1858" w:type="pct"/>
            <w:tcMar>
              <w:top w:w="0" w:type="dxa"/>
              <w:left w:w="70" w:type="dxa"/>
              <w:bottom w:w="0" w:type="dxa"/>
              <w:right w:w="70" w:type="dxa"/>
            </w:tcMar>
            <w:vAlign w:val="center"/>
          </w:tcPr>
          <w:p>
            <w:pPr>
              <w:spacing w:line="38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纤维含量</w:t>
            </w:r>
          </w:p>
        </w:tc>
        <w:tc>
          <w:tcPr>
            <w:tcW w:w="2427" w:type="pct"/>
            <w:tcMar>
              <w:top w:w="0" w:type="dxa"/>
              <w:left w:w="70" w:type="dxa"/>
              <w:bottom w:w="0" w:type="dxa"/>
              <w:right w:w="70" w:type="dxa"/>
            </w:tcMar>
            <w:vAlign w:val="center"/>
          </w:tcPr>
          <w:p>
            <w:pPr>
              <w:spacing w:line="380" w:lineRule="exact"/>
              <w:jc w:val="center"/>
              <w:rPr>
                <w:rFonts w:asciiTheme="minorEastAsia" w:hAnsiTheme="minorEastAsia" w:cstheme="minorEastAsia"/>
                <w:color w:val="000000" w:themeColor="text1"/>
                <w:szCs w:val="21"/>
                <w14:textFill>
                  <w14:solidFill>
                    <w14:schemeClr w14:val="tx1"/>
                  </w14:solidFill>
                </w14:textFill>
              </w:rPr>
            </w:pPr>
            <w:r>
              <w:rPr>
                <w:rFonts w:asciiTheme="minorEastAsia" w:hAnsiTheme="minorEastAsia" w:cstheme="minorEastAsia"/>
                <w:color w:val="000000" w:themeColor="text1"/>
                <w:szCs w:val="21"/>
                <w14:textFill>
                  <w14:solidFill>
                    <w14:schemeClr w14:val="tx1"/>
                  </w14:solidFill>
                </w14:textFill>
              </w:rPr>
              <w:t>GB/T 29862-2013</w:t>
            </w:r>
          </w:p>
          <w:p>
            <w:pPr>
              <w:spacing w:line="38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FZ/T 01057.1～4-2007</w:t>
            </w:r>
          </w:p>
          <w:p>
            <w:pPr>
              <w:spacing w:line="380" w:lineRule="exact"/>
              <w:jc w:val="center"/>
              <w:rPr>
                <w:rFonts w:asciiTheme="minorEastAsia" w:hAnsiTheme="minorEastAsia" w:cstheme="minorEastAsia"/>
                <w:color w:val="000000" w:themeColor="text1"/>
                <w:szCs w:val="21"/>
                <w14:textFill>
                  <w14:solidFill>
                    <w14:schemeClr w14:val="tx1"/>
                  </w14:solidFill>
                </w14:textFill>
              </w:rPr>
            </w:pPr>
            <w:r>
              <w:rPr>
                <w:rFonts w:asciiTheme="minorEastAsia" w:hAnsiTheme="minorEastAsia" w:cstheme="minorEastAsia"/>
                <w:color w:val="000000" w:themeColor="text1"/>
                <w:szCs w:val="21"/>
                <w14:textFill>
                  <w14:solidFill>
                    <w14:schemeClr w14:val="tx1"/>
                  </w14:solidFill>
                </w14:textFill>
              </w:rPr>
              <w:t>FZ/T 01057.6-2007</w:t>
            </w:r>
          </w:p>
          <w:p>
            <w:pPr>
              <w:spacing w:line="38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GB/T 2910.1～24-2009</w:t>
            </w:r>
          </w:p>
          <w:p>
            <w:pPr>
              <w:spacing w:line="380" w:lineRule="exact"/>
              <w:jc w:val="center"/>
              <w:rPr>
                <w:ins w:id="2" w:author="JD" w:date="2023-04-06T16:05:00Z"/>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GB/T 2910.101-2009</w:t>
            </w:r>
          </w:p>
          <w:p>
            <w:pPr>
              <w:spacing w:line="380" w:lineRule="exact"/>
              <w:jc w:val="center"/>
              <w:rPr>
                <w:rFonts w:asciiTheme="minorEastAsia" w:hAnsiTheme="minorEastAsia" w:cstheme="minorEastAsia"/>
                <w:color w:val="000000" w:themeColor="text1"/>
                <w:szCs w:val="21"/>
                <w14:textFill>
                  <w14:solidFill>
                    <w14:schemeClr w14:val="tx1"/>
                  </w14:solidFill>
                </w14:textFill>
              </w:rPr>
            </w:pPr>
            <w:ins w:id="3" w:author="JD" w:date="2023-04-06T16:05:00Z">
              <w:r>
                <w:rPr>
                  <w:rFonts w:asciiTheme="minorEastAsia" w:hAnsiTheme="minorEastAsia" w:cstheme="minorEastAsia"/>
                  <w:color w:val="000000" w:themeColor="text1"/>
                  <w:szCs w:val="21"/>
                  <w14:textFill>
                    <w14:solidFill>
                      <w14:schemeClr w14:val="tx1"/>
                    </w14:solidFill>
                  </w14:textFill>
                </w:rPr>
                <w:t>GB/T 2910.4-2022</w:t>
              </w:r>
            </w:ins>
          </w:p>
          <w:p>
            <w:pPr>
              <w:spacing w:line="38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GB/T 16988-2013</w:t>
            </w:r>
          </w:p>
          <w:p>
            <w:pPr>
              <w:spacing w:line="380" w:lineRule="exact"/>
              <w:jc w:val="center"/>
              <w:rPr>
                <w:rFonts w:asciiTheme="minorEastAsia" w:hAnsiTheme="minorEastAsia" w:cstheme="minorEastAsia"/>
                <w:color w:val="000000" w:themeColor="text1"/>
                <w:szCs w:val="21"/>
                <w14:textFill>
                  <w14:solidFill>
                    <w14:schemeClr w14:val="tx1"/>
                  </w14:solidFill>
                </w14:textFill>
              </w:rPr>
            </w:pPr>
            <w:r>
              <w:rPr>
                <w:rFonts w:asciiTheme="minorEastAsia" w:hAnsiTheme="minorEastAsia" w:cstheme="minorEastAsia"/>
                <w:color w:val="000000" w:themeColor="text1"/>
                <w:szCs w:val="21"/>
                <w14:textFill>
                  <w14:solidFill>
                    <w14:schemeClr w14:val="tx1"/>
                  </w14:solidFill>
                </w14:textFill>
              </w:rPr>
              <w:t>GB/T 32198-2015</w:t>
            </w:r>
          </w:p>
          <w:p>
            <w:pPr>
              <w:spacing w:line="38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FZ/T 01026-2017</w:t>
            </w:r>
          </w:p>
          <w:p>
            <w:pPr>
              <w:spacing w:line="38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FZ/T 01095-2002</w:t>
            </w:r>
          </w:p>
          <w:p>
            <w:pPr>
              <w:spacing w:line="38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FZ/T 01101-2008</w:t>
            </w:r>
          </w:p>
          <w:p>
            <w:pPr>
              <w:spacing w:line="38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FZ/T 01103-2009</w:t>
            </w:r>
          </w:p>
          <w:p>
            <w:pPr>
              <w:spacing w:line="38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FZ/T 01103-2009</w:t>
            </w:r>
          </w:p>
          <w:p>
            <w:pPr>
              <w:spacing w:line="38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FZ/T 01112-2012</w:t>
            </w:r>
          </w:p>
          <w:p>
            <w:pPr>
              <w:spacing w:line="38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FZ/T 01131-2016</w:t>
            </w:r>
          </w:p>
          <w:p>
            <w:pPr>
              <w:spacing w:line="38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FZ/T 01132-2016</w:t>
            </w:r>
          </w:p>
          <w:p>
            <w:pPr>
              <w:spacing w:line="38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FZ/T 30003-2009</w:t>
            </w:r>
          </w:p>
          <w:p>
            <w:pPr>
              <w:spacing w:line="38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FZ/T 40005-2009</w:t>
            </w:r>
          </w:p>
          <w:p>
            <w:pPr>
              <w:spacing w:line="380" w:lineRule="exact"/>
              <w:jc w:val="center"/>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相应产品标准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5000" w:type="pct"/>
            <w:gridSpan w:val="3"/>
            <w:tcMar>
              <w:top w:w="0" w:type="dxa"/>
              <w:left w:w="70" w:type="dxa"/>
              <w:bottom w:w="0" w:type="dxa"/>
              <w:right w:w="70" w:type="dxa"/>
            </w:tcMar>
            <w:vAlign w:val="center"/>
          </w:tcPr>
          <w:p>
            <w:pPr>
              <w:spacing w:line="380" w:lineRule="exact"/>
              <w:jc w:val="left"/>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备注：</w:t>
            </w:r>
          </w:p>
          <w:p>
            <w:pPr>
              <w:spacing w:line="380" w:lineRule="exact"/>
              <w:jc w:val="left"/>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A、纺织品可分解致癌芳香胺染料检测采用GC/MS定性，出现阳性结果时用HPLC/DAD进一步确认和定量。</w:t>
            </w:r>
          </w:p>
          <w:p>
            <w:pPr>
              <w:spacing w:line="380" w:lineRule="exact"/>
              <w:jc w:val="left"/>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B、若样品量不能满足所有试验要求，按照可分解致癌芳香胺染料、甲醛含量、pH值、纤维含量、耐干摩擦色牢度、耐湿摩擦色牢度、耐皂洗色牢度、耐干洗色牢度、起球的取样顺序进行检测。</w:t>
            </w:r>
          </w:p>
          <w:p>
            <w:pPr>
              <w:spacing w:line="380" w:lineRule="exact"/>
              <w:jc w:val="left"/>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C、当样品形状、大小或重量等不能满足某个检测项目的样品需求时，该项目不予考核。</w:t>
            </w:r>
          </w:p>
          <w:p>
            <w:pPr>
              <w:spacing w:line="380" w:lineRule="exact"/>
              <w:jc w:val="left"/>
              <w:rPr>
                <w:rFonts w:asciiTheme="minorEastAsia" w:hAnsiTheme="minorEastAsia" w:cstheme="minorEastAsia"/>
                <w:color w:val="000000" w:themeColor="text1"/>
                <w:szCs w:val="21"/>
                <w14:textFill>
                  <w14:solidFill>
                    <w14:schemeClr w14:val="tx1"/>
                  </w14:solidFill>
                </w14:textFill>
              </w:rPr>
            </w:pPr>
            <w:r>
              <w:rPr>
                <w:rFonts w:hint="eastAsia" w:asciiTheme="minorEastAsia" w:hAnsiTheme="minorEastAsia" w:cstheme="minorEastAsia"/>
                <w:color w:val="000000" w:themeColor="text1"/>
                <w:szCs w:val="21"/>
                <w14:textFill>
                  <w14:solidFill>
                    <w14:schemeClr w14:val="tx1"/>
                  </w14:solidFill>
                </w14:textFill>
              </w:rPr>
              <w:t>D、当样品明示产品标准为推荐性国家标准或行业标准时，标准中未要求的检验项目不予考核。</w:t>
            </w:r>
          </w:p>
        </w:tc>
      </w:tr>
    </w:tbl>
    <w:p>
      <w:pPr>
        <w:snapToGrid w:val="0"/>
        <w:spacing w:line="440" w:lineRule="exact"/>
        <w:ind w:firstLine="420" w:firstLineChars="200"/>
        <w:rPr>
          <w:rFonts w:asciiTheme="minorEastAsia" w:hAnsiTheme="minorEastAsia" w:cstheme="minorEastAsia"/>
          <w:color w:val="000000"/>
          <w:szCs w:val="21"/>
        </w:rPr>
      </w:pPr>
      <w:r>
        <w:rPr>
          <w:rFonts w:hint="eastAsia" w:asciiTheme="minorEastAsia" w:hAnsiTheme="minorEastAsia" w:cstheme="minorEastAsia"/>
          <w:color w:val="000000"/>
          <w:szCs w:val="21"/>
        </w:rPr>
        <w:t>执行企业标准、团体标准、地方标准的产品，检验项目参照上述内容执行。</w:t>
      </w:r>
    </w:p>
    <w:p>
      <w:pPr>
        <w:snapToGrid w:val="0"/>
        <w:spacing w:line="440" w:lineRule="exact"/>
        <w:ind w:firstLine="420" w:firstLineChars="200"/>
        <w:rPr>
          <w:rFonts w:asciiTheme="minorEastAsia" w:hAnsiTheme="minorEastAsia" w:cstheme="minorEastAsia"/>
          <w:color w:val="000000"/>
          <w:szCs w:val="21"/>
        </w:rPr>
      </w:pPr>
      <w:r>
        <w:rPr>
          <w:rFonts w:hint="eastAsia" w:asciiTheme="minorEastAsia" w:hAnsiTheme="minorEastAsia" w:cstheme="minorEastAsia"/>
          <w:color w:val="000000"/>
          <w:szCs w:val="21"/>
        </w:rPr>
        <w:t>凡是注日期的文件，其随后所有的修改单（不包括勘误的内容）或修订版不适用于本细则。凡是不注日期的文件，其最新版本适用于本细则。</w:t>
      </w:r>
    </w:p>
    <w:p>
      <w:pPr>
        <w:spacing w:line="440" w:lineRule="exact"/>
        <w:rPr>
          <w:rFonts w:asciiTheme="minorEastAsia" w:hAnsiTheme="minorEastAsia" w:cstheme="minorEastAsia"/>
          <w:color w:val="000000"/>
          <w:szCs w:val="21"/>
        </w:rPr>
      </w:pPr>
    </w:p>
    <w:p>
      <w:pPr>
        <w:spacing w:line="440" w:lineRule="exact"/>
        <w:rPr>
          <w:rFonts w:ascii="黑体" w:hAnsi="黑体" w:eastAsia="黑体" w:cstheme="minorEastAsia"/>
          <w:color w:val="000000"/>
          <w:szCs w:val="21"/>
        </w:rPr>
      </w:pPr>
      <w:r>
        <w:rPr>
          <w:rFonts w:ascii="黑体" w:hAnsi="黑体" w:eastAsia="黑体" w:cstheme="minorEastAsia"/>
          <w:color w:val="000000"/>
          <w:szCs w:val="21"/>
        </w:rPr>
        <w:t xml:space="preserve">3 </w:t>
      </w:r>
      <w:r>
        <w:rPr>
          <w:rFonts w:hint="eastAsia" w:ascii="黑体" w:hAnsi="黑体" w:eastAsia="黑体" w:cstheme="minorEastAsia"/>
          <w:color w:val="000000"/>
          <w:szCs w:val="21"/>
        </w:rPr>
        <w:t>判定规则</w:t>
      </w:r>
    </w:p>
    <w:p>
      <w:pPr>
        <w:spacing w:line="440" w:lineRule="exact"/>
        <w:rPr>
          <w:rFonts w:asciiTheme="minorEastAsia" w:hAnsiTheme="minorEastAsia" w:cstheme="minorEastAsia"/>
          <w:color w:val="000000"/>
          <w:szCs w:val="21"/>
        </w:rPr>
      </w:pPr>
      <w:r>
        <w:rPr>
          <w:rFonts w:hint="eastAsia" w:asciiTheme="minorEastAsia" w:hAnsiTheme="minorEastAsia" w:cstheme="minorEastAsia"/>
          <w:color w:val="000000"/>
          <w:szCs w:val="21"/>
        </w:rPr>
        <w:t>3.1依据标准</w:t>
      </w:r>
    </w:p>
    <w:p>
      <w:pPr>
        <w:snapToGrid w:val="0"/>
        <w:spacing w:line="440" w:lineRule="exact"/>
        <w:ind w:firstLine="420" w:firstLineChars="200"/>
        <w:rPr>
          <w:rFonts w:asciiTheme="minorEastAsia" w:hAnsiTheme="minorEastAsia" w:cstheme="minorEastAsia"/>
          <w:color w:val="000000"/>
          <w:szCs w:val="21"/>
        </w:rPr>
      </w:pPr>
      <w:r>
        <w:rPr>
          <w:rFonts w:hint="eastAsia" w:asciiTheme="minorEastAsia" w:hAnsiTheme="minorEastAsia" w:cstheme="minorEastAsia"/>
          <w:color w:val="000000"/>
          <w:szCs w:val="21"/>
        </w:rPr>
        <w:t>GB 18401-2010 国家纺织产品基本安全技术规范</w:t>
      </w:r>
    </w:p>
    <w:p>
      <w:pPr>
        <w:spacing w:line="440" w:lineRule="exact"/>
        <w:ind w:firstLine="420" w:firstLineChars="200"/>
        <w:rPr>
          <w:rFonts w:asciiTheme="minorEastAsia" w:hAnsiTheme="minorEastAsia" w:cstheme="minorEastAsia"/>
          <w:color w:val="000000"/>
          <w:szCs w:val="21"/>
        </w:rPr>
      </w:pPr>
      <w:r>
        <w:rPr>
          <w:rFonts w:hint="eastAsia" w:asciiTheme="minorEastAsia" w:hAnsiTheme="minorEastAsia" w:cstheme="minorEastAsia"/>
          <w:color w:val="000000"/>
          <w:szCs w:val="21"/>
        </w:rPr>
        <w:t>GB/T 29862-2013纺织品纤维含量的标识</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GB/T 2660-2017 衬衫</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GB/T 2662-2017 棉服装</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GB/T 2664-2017 男西服、大衣</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GB/T 2665-2017 女西服、大衣</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GB/T 2666-2017 西裤</w:t>
      </w:r>
    </w:p>
    <w:p>
      <w:pPr>
        <w:snapToGrid w:val="0"/>
        <w:spacing w:line="440" w:lineRule="exact"/>
        <w:ind w:firstLine="420" w:firstLineChars="200"/>
        <w:rPr>
          <w:rFonts w:asciiTheme="minorEastAsia" w:hAnsiTheme="minorEastAsia" w:cstheme="minorEastAsia"/>
          <w:color w:val="000000"/>
          <w:szCs w:val="21"/>
        </w:rPr>
      </w:pPr>
      <w:r>
        <w:rPr>
          <w:rFonts w:hint="eastAsia" w:asciiTheme="minorEastAsia" w:hAnsiTheme="minorEastAsia" w:cstheme="minorEastAsia"/>
          <w:color w:val="000000"/>
          <w:szCs w:val="21"/>
        </w:rPr>
        <w:t>GB/T 21980-2017 专业运动服和防护用品</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GB/T 22700-2016 水洗整理服装</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GB/T 22849-2014 针织T恤衫</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GB/T 22853-2019 针织运动服</w:t>
      </w:r>
    </w:p>
    <w:p>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GB/T 26384-2011 针织棉服装</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GB/T 26385-2011 针织拼接服装</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GB/T 29869-2013 针织专业运动服</w:t>
      </w:r>
    </w:p>
    <w:p>
      <w:pPr>
        <w:snapToGrid w:val="0"/>
        <w:spacing w:line="440" w:lineRule="exact"/>
        <w:ind w:firstLine="420" w:firstLineChars="200"/>
        <w:rPr>
          <w:rFonts w:ascii="宋体" w:hAnsi="宋体"/>
          <w:szCs w:val="21"/>
        </w:rPr>
      </w:pPr>
      <w:r>
        <w:rPr>
          <w:rFonts w:hint="eastAsia" w:ascii="宋体" w:hAnsi="宋体"/>
          <w:szCs w:val="21"/>
        </w:rPr>
        <w:t>GB/T 32614-2016 户外运动服装 冲锋衣</w:t>
      </w:r>
    </w:p>
    <w:p>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GB/T 35460-2017 机织弹力裤</w:t>
      </w:r>
    </w:p>
    <w:p>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GB/T 8878-2014 棉针织内衣</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FZ/T 24019-2012 印花羊绒针织品</w:t>
      </w:r>
    </w:p>
    <w:p>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73005-2021 低含毛混纺及仿毛针织品</w:t>
      </w:r>
    </w:p>
    <w:p>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73009-2021 羊绒针织品</w:t>
      </w:r>
    </w:p>
    <w:p>
      <w:pPr>
        <w:snapToGrid w:val="0"/>
        <w:spacing w:line="440" w:lineRule="exact"/>
        <w:ind w:firstLine="420" w:firstLineChars="200"/>
        <w:rPr>
          <w:rFonts w:ascii="宋体" w:hAnsi="宋体"/>
          <w:szCs w:val="21"/>
        </w:rPr>
      </w:pPr>
      <w:r>
        <w:rPr>
          <w:rFonts w:hint="eastAsia" w:ascii="宋体" w:hAnsi="宋体"/>
          <w:color w:val="000000"/>
          <w:szCs w:val="21"/>
        </w:rPr>
        <w:t>FZ/T 73010-2016 针织工艺衫</w:t>
      </w:r>
    </w:p>
    <w:p>
      <w:pPr>
        <w:snapToGrid w:val="0"/>
        <w:spacing w:line="440" w:lineRule="exact"/>
        <w:ind w:firstLine="420" w:firstLineChars="200"/>
        <w:rPr>
          <w:rFonts w:ascii="宋体" w:hAnsi="宋体"/>
          <w:szCs w:val="21"/>
        </w:rPr>
      </w:pPr>
      <w:r>
        <w:rPr>
          <w:rFonts w:hint="eastAsia" w:ascii="宋体" w:hAnsi="宋体"/>
          <w:szCs w:val="21"/>
        </w:rPr>
        <w:t>FZ/T 73016-2020 针织保暖内衣 絮片型</w:t>
      </w:r>
    </w:p>
    <w:p>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73018-2021 毛针织品</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FZ/T 73020-2019 针织休闲服装</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FZ/T 73022-2019 针织保暖内衣</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FZ/T 73024-2014 化纤针织内衣</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FZ/T 73029-2019 针织裤</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FZ/T 73032-2017 针织牛仔服装</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FZ/T 73034-2021 半精纺毛针织品</w:t>
      </w:r>
    </w:p>
    <w:p>
      <w:pPr>
        <w:snapToGrid w:val="0"/>
        <w:spacing w:line="440" w:lineRule="exact"/>
        <w:ind w:firstLine="420" w:firstLineChars="200"/>
        <w:rPr>
          <w:rFonts w:ascii="宋体" w:hAnsi="宋体"/>
          <w:color w:val="000000"/>
          <w:szCs w:val="21"/>
        </w:rPr>
      </w:pPr>
      <w:r>
        <w:rPr>
          <w:rFonts w:ascii="宋体" w:hAnsi="宋体"/>
          <w:color w:val="000000"/>
          <w:szCs w:val="21"/>
        </w:rPr>
        <w:t xml:space="preserve">FZ/T 73043-2020 </w:t>
      </w:r>
      <w:r>
        <w:rPr>
          <w:rFonts w:hint="eastAsia" w:ascii="宋体" w:hAnsi="宋体"/>
          <w:color w:val="000000"/>
          <w:szCs w:val="21"/>
        </w:rPr>
        <w:t>针织衬衫</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FZ/T 73056-2016 针织西服</w:t>
      </w:r>
    </w:p>
    <w:p>
      <w:pPr>
        <w:snapToGrid w:val="0"/>
        <w:spacing w:line="440" w:lineRule="exact"/>
        <w:ind w:firstLine="420" w:firstLineChars="200"/>
        <w:rPr>
          <w:rFonts w:ascii="宋体" w:hAnsi="宋体"/>
          <w:color w:val="000000"/>
          <w:szCs w:val="21"/>
        </w:rPr>
      </w:pPr>
      <w:r>
        <w:rPr>
          <w:rFonts w:ascii="宋体" w:hAnsi="宋体"/>
          <w:color w:val="000000"/>
          <w:szCs w:val="21"/>
        </w:rPr>
        <w:t>FZ/T 73058-2017</w:t>
      </w:r>
      <w:r>
        <w:rPr>
          <w:rFonts w:hint="eastAsia" w:ascii="宋体" w:hAnsi="宋体"/>
          <w:color w:val="000000"/>
          <w:szCs w:val="21"/>
        </w:rPr>
        <w:t xml:space="preserve"> 针织大衣</w:t>
      </w:r>
    </w:p>
    <w:p>
      <w:pPr>
        <w:snapToGrid w:val="0"/>
        <w:spacing w:line="440" w:lineRule="exact"/>
        <w:ind w:firstLine="420" w:firstLineChars="200"/>
        <w:rPr>
          <w:rFonts w:ascii="宋体" w:hAnsi="宋体"/>
          <w:color w:val="000000"/>
          <w:szCs w:val="21"/>
        </w:rPr>
      </w:pPr>
      <w:r>
        <w:rPr>
          <w:rFonts w:ascii="宋体" w:hAnsi="宋体"/>
          <w:color w:val="000000"/>
          <w:szCs w:val="21"/>
        </w:rPr>
        <w:t>FZ/T 7305</w:t>
      </w:r>
      <w:r>
        <w:rPr>
          <w:rFonts w:hint="eastAsia" w:ascii="宋体" w:hAnsi="宋体"/>
          <w:color w:val="000000"/>
          <w:szCs w:val="21"/>
        </w:rPr>
        <w:t>9</w:t>
      </w:r>
      <w:r>
        <w:rPr>
          <w:rFonts w:ascii="宋体" w:hAnsi="宋体"/>
          <w:color w:val="000000"/>
          <w:szCs w:val="21"/>
        </w:rPr>
        <w:t>-201</w:t>
      </w:r>
      <w:r>
        <w:rPr>
          <w:rFonts w:hint="eastAsia" w:ascii="宋体" w:hAnsi="宋体"/>
          <w:color w:val="000000"/>
          <w:szCs w:val="21"/>
        </w:rPr>
        <w:t>7</w:t>
      </w:r>
      <w:r>
        <w:rPr>
          <w:rFonts w:ascii="宋体" w:hAnsi="宋体"/>
          <w:color w:val="000000"/>
          <w:szCs w:val="21"/>
        </w:rPr>
        <w:t xml:space="preserve"> </w:t>
      </w:r>
      <w:r>
        <w:rPr>
          <w:rFonts w:hint="eastAsia" w:ascii="宋体" w:hAnsi="宋体"/>
          <w:color w:val="000000"/>
          <w:szCs w:val="21"/>
        </w:rPr>
        <w:t>双面穿</w:t>
      </w:r>
      <w:r>
        <w:rPr>
          <w:rFonts w:ascii="宋体" w:hAnsi="宋体"/>
          <w:color w:val="000000"/>
          <w:szCs w:val="21"/>
        </w:rPr>
        <w:t>服装</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w:t>
      </w:r>
      <w:r>
        <w:rPr>
          <w:rFonts w:ascii="宋体" w:hAnsi="宋体"/>
          <w:color w:val="000000"/>
          <w:szCs w:val="21"/>
        </w:rPr>
        <w:t xml:space="preserve">Z/T 73061-2019 </w:t>
      </w:r>
      <w:r>
        <w:rPr>
          <w:rFonts w:hint="eastAsia" w:ascii="宋体" w:hAnsi="宋体"/>
          <w:color w:val="000000"/>
          <w:szCs w:val="21"/>
        </w:rPr>
        <w:t>针织茄克衫</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w:t>
      </w:r>
      <w:r>
        <w:rPr>
          <w:rFonts w:ascii="宋体" w:hAnsi="宋体"/>
          <w:color w:val="000000"/>
          <w:szCs w:val="21"/>
        </w:rPr>
        <w:t>/</w:t>
      </w:r>
      <w:r>
        <w:rPr>
          <w:rFonts w:hint="eastAsia" w:ascii="宋体" w:hAnsi="宋体"/>
          <w:color w:val="000000"/>
          <w:szCs w:val="21"/>
        </w:rPr>
        <w:t>T 73064-2019 针织西裤</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FZ/T 81004-2012 连衣裙、裙套</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FZ/T 81004-2022 连衣裙、裙套</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FZ/T 81006-2017 牛仔服装</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FZ/T 81007-2012 单、夹服装</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FZ/T 81007-2022 单、夹服装</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FZ/T 81008-2021 茄克衫</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FZ/T 81010-2018 风衣</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FZ/T 81017-2012 非粘合衬西服</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FZ/T 81017-2022 全毛衬西服</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FZ/T 81019-2014 灯芯绒服装</w:t>
      </w:r>
    </w:p>
    <w:p>
      <w:pPr>
        <w:snapToGrid w:val="0"/>
        <w:spacing w:line="440" w:lineRule="exact"/>
        <w:ind w:firstLine="420" w:firstLineChars="200"/>
        <w:rPr>
          <w:rFonts w:asciiTheme="minorEastAsia" w:hAnsiTheme="minorEastAsia" w:cstheme="minorEastAsia"/>
          <w:color w:val="000000"/>
          <w:szCs w:val="21"/>
        </w:rPr>
      </w:pPr>
      <w:r>
        <w:rPr>
          <w:rFonts w:hint="eastAsia" w:asciiTheme="minorEastAsia" w:hAnsiTheme="minorEastAsia" w:cstheme="minorEastAsia"/>
          <w:color w:val="000000"/>
          <w:szCs w:val="21"/>
        </w:rPr>
        <w:t>相关的法律、行政法规、部门规章、规范性文件</w:t>
      </w:r>
    </w:p>
    <w:p>
      <w:pPr>
        <w:snapToGrid w:val="0"/>
        <w:spacing w:line="440" w:lineRule="exact"/>
        <w:ind w:firstLine="420" w:firstLineChars="200"/>
        <w:rPr>
          <w:rFonts w:asciiTheme="minorEastAsia" w:hAnsiTheme="minorEastAsia" w:cstheme="minorEastAsia"/>
          <w:color w:val="000000"/>
          <w:szCs w:val="21"/>
        </w:rPr>
      </w:pPr>
      <w:r>
        <w:rPr>
          <w:rFonts w:hint="eastAsia" w:asciiTheme="minorEastAsia" w:hAnsiTheme="minorEastAsia" w:cstheme="minorEastAsia"/>
          <w:color w:val="000000"/>
          <w:szCs w:val="21"/>
        </w:rPr>
        <w:t>现行有效的企业标准、团体标准、地方标准及产品明示质量要求</w:t>
      </w:r>
    </w:p>
    <w:p>
      <w:pPr>
        <w:spacing w:line="440" w:lineRule="exact"/>
        <w:rPr>
          <w:rFonts w:asciiTheme="minorEastAsia" w:hAnsiTheme="minorEastAsia" w:cstheme="minorEastAsia"/>
          <w:color w:val="000000"/>
          <w:szCs w:val="21"/>
        </w:rPr>
      </w:pPr>
      <w:r>
        <w:rPr>
          <w:rFonts w:hint="eastAsia" w:asciiTheme="minorEastAsia" w:hAnsiTheme="minorEastAsia" w:cstheme="minorEastAsia"/>
          <w:color w:val="000000"/>
          <w:szCs w:val="21"/>
        </w:rPr>
        <w:t>3.2判定原则</w:t>
      </w:r>
    </w:p>
    <w:p>
      <w:pPr>
        <w:pStyle w:val="4"/>
        <w:snapToGrid w:val="0"/>
        <w:spacing w:line="440" w:lineRule="exact"/>
        <w:ind w:firstLine="417" w:firstLineChars="199"/>
        <w:rPr>
          <w:rFonts w:ascii="Times New Roman" w:hAnsi="Times New Roman"/>
          <w:color w:val="000000"/>
          <w:szCs w:val="21"/>
        </w:rPr>
      </w:pPr>
      <w:r>
        <w:rPr>
          <w:rFonts w:ascii="Times New Roman" w:hAnsi="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Times New Roman" w:hAnsi="Times New Roman" w:eastAsia="宋体" w:cs="Times New Roman"/>
          <w:color w:val="000000"/>
          <w:szCs w:val="21"/>
        </w:rPr>
      </w:pPr>
      <w:r>
        <w:rPr>
          <w:rFonts w:ascii="Times New Roman" w:hAnsi="Times New Roman" w:cs="Times New Roman"/>
          <w:color w:val="000000"/>
          <w:szCs w:val="21"/>
        </w:rPr>
        <w:t>若被检产品明示的质量要求低于或包含细则中检验项目依据的推荐性标准要求时，应以被检产品明示的质量要求判定。</w:t>
      </w:r>
    </w:p>
    <w:p>
      <w:pPr>
        <w:snapToGrid w:val="0"/>
        <w:spacing w:line="440" w:lineRule="exact"/>
        <w:ind w:firstLine="417" w:firstLineChars="199"/>
        <w:rPr>
          <w:rFonts w:ascii="Times New Roman" w:hAnsi="Times New Roman" w:cs="Times New Roman"/>
          <w:color w:val="000000"/>
          <w:szCs w:val="21"/>
        </w:rPr>
      </w:pPr>
      <w:r>
        <w:rPr>
          <w:rFonts w:ascii="Times New Roman" w:hAnsi="Times New Roman" w:cs="Times New Roman"/>
          <w:color w:val="000000"/>
          <w:szCs w:val="21"/>
        </w:rPr>
        <w:t>若被检产品明示的质量要求缺少本细则中检验项目依据的强制性标准要求时，应按照强制性标准要求判定。</w:t>
      </w:r>
    </w:p>
    <w:p>
      <w:pPr>
        <w:spacing w:line="440" w:lineRule="exact"/>
        <w:ind w:firstLine="417" w:firstLineChars="199"/>
        <w:rPr>
          <w:rFonts w:asciiTheme="minorEastAsia" w:hAnsiTheme="minorEastAsia" w:cstheme="minorEastAsia"/>
        </w:rPr>
      </w:pPr>
      <w:r>
        <w:rPr>
          <w:rFonts w:ascii="Times New Roman" w:hAnsi="Times New Roman" w:cs="Times New Roman"/>
          <w:color w:val="000000"/>
        </w:rPr>
        <w:t>若被检产品明示的质量要求缺少本细则中检验项目依据的推荐性标准要求时，该项目不参与判定。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宋简体">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21FF2D"/>
    <w:multiLevelType w:val="singleLevel"/>
    <w:tmpl w:val="9121FF2D"/>
    <w:lvl w:ilvl="0" w:tentative="0">
      <w:start w:val="1"/>
      <w:numFmt w:val="decimal"/>
      <w:lvlText w:val="%1"/>
      <w:lvlJc w:val="left"/>
      <w:pPr>
        <w:tabs>
          <w:tab w:val="left" w:pos="420"/>
        </w:tabs>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D">
    <w15:presenceInfo w15:providerId="None" w15:userId="JD"/>
  </w15:person>
  <w15:person w15:author="王达达">
    <w15:presenceInfo w15:providerId="WPS Office" w15:userId="2772819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5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F47FCF"/>
    <w:rsid w:val="000374EB"/>
    <w:rsid w:val="000675A0"/>
    <w:rsid w:val="00277A37"/>
    <w:rsid w:val="003D7DBD"/>
    <w:rsid w:val="003E5835"/>
    <w:rsid w:val="00416D65"/>
    <w:rsid w:val="004212DF"/>
    <w:rsid w:val="004556A7"/>
    <w:rsid w:val="004E2530"/>
    <w:rsid w:val="00540AA0"/>
    <w:rsid w:val="00567044"/>
    <w:rsid w:val="005736A6"/>
    <w:rsid w:val="005E2878"/>
    <w:rsid w:val="00685778"/>
    <w:rsid w:val="006B6250"/>
    <w:rsid w:val="008A73BA"/>
    <w:rsid w:val="00915F8A"/>
    <w:rsid w:val="009D4304"/>
    <w:rsid w:val="00DD056B"/>
    <w:rsid w:val="00DE7DC1"/>
    <w:rsid w:val="00E33987"/>
    <w:rsid w:val="00E367BC"/>
    <w:rsid w:val="00F0216F"/>
    <w:rsid w:val="00F16590"/>
    <w:rsid w:val="00F47FCF"/>
    <w:rsid w:val="00F66C43"/>
    <w:rsid w:val="00FD0F22"/>
    <w:rsid w:val="013E3F61"/>
    <w:rsid w:val="0A4832AD"/>
    <w:rsid w:val="0A7302A2"/>
    <w:rsid w:val="0E775F59"/>
    <w:rsid w:val="143A2A75"/>
    <w:rsid w:val="14952C5B"/>
    <w:rsid w:val="1BD8501E"/>
    <w:rsid w:val="1CCF5017"/>
    <w:rsid w:val="1D424EDB"/>
    <w:rsid w:val="213F189A"/>
    <w:rsid w:val="214C1008"/>
    <w:rsid w:val="216B36A6"/>
    <w:rsid w:val="26C57CD3"/>
    <w:rsid w:val="2C2C575A"/>
    <w:rsid w:val="3087164B"/>
    <w:rsid w:val="30946C6C"/>
    <w:rsid w:val="36F33E9C"/>
    <w:rsid w:val="36FE69EF"/>
    <w:rsid w:val="37275435"/>
    <w:rsid w:val="38CD320A"/>
    <w:rsid w:val="3A377F39"/>
    <w:rsid w:val="3A594A17"/>
    <w:rsid w:val="3B161926"/>
    <w:rsid w:val="42B826CA"/>
    <w:rsid w:val="43C63823"/>
    <w:rsid w:val="43E512F8"/>
    <w:rsid w:val="4A284471"/>
    <w:rsid w:val="505B2DE8"/>
    <w:rsid w:val="51534119"/>
    <w:rsid w:val="51994BF7"/>
    <w:rsid w:val="5298271F"/>
    <w:rsid w:val="67C90141"/>
    <w:rsid w:val="6841114D"/>
    <w:rsid w:val="6BA36C65"/>
    <w:rsid w:val="75747C6B"/>
    <w:rsid w:val="75CE7CDB"/>
    <w:rsid w:val="75CF7525"/>
    <w:rsid w:val="762C4946"/>
    <w:rsid w:val="76591C2B"/>
    <w:rsid w:val="7D5500BE"/>
    <w:rsid w:val="7D5F3B3B"/>
    <w:rsid w:val="7EEB325A"/>
    <w:rsid w:val="7FB13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Plain Text"/>
    <w:basedOn w:val="1"/>
    <w:link w:val="16"/>
    <w:qFormat/>
    <w:uiPriority w:val="0"/>
    <w:rPr>
      <w:rFonts w:ascii="宋体" w:hAnsi="Courier New" w:eastAsia="宋体" w:cs="Times New Roman"/>
      <w:szCs w:val="20"/>
    </w:rPr>
  </w:style>
  <w:style w:type="paragraph" w:styleId="5">
    <w:name w:val="Balloon Text"/>
    <w:basedOn w:val="1"/>
    <w:link w:val="17"/>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标题 1 字符"/>
    <w:basedOn w:val="9"/>
    <w:link w:val="2"/>
    <w:qFormat/>
    <w:uiPriority w:val="9"/>
    <w:rPr>
      <w:b/>
      <w:bCs/>
      <w:kern w:val="44"/>
      <w:sz w:val="44"/>
      <w:szCs w:val="44"/>
    </w:rPr>
  </w:style>
  <w:style w:type="character" w:customStyle="1" w:styleId="11">
    <w:name w:val="标题 2 字符"/>
    <w:basedOn w:val="9"/>
    <w:link w:val="3"/>
    <w:qFormat/>
    <w:uiPriority w:val="9"/>
    <w:rPr>
      <w:rFonts w:asciiTheme="majorHAnsi" w:hAnsiTheme="majorHAnsi" w:eastAsiaTheme="majorEastAsia" w:cstheme="majorBidi"/>
      <w:b/>
      <w:bCs/>
      <w:sz w:val="32"/>
      <w:szCs w:val="32"/>
    </w:rPr>
  </w:style>
  <w:style w:type="paragraph" w:styleId="1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3">
    <w:name w:val="书籍标题1"/>
    <w:basedOn w:val="9"/>
    <w:qFormat/>
    <w:uiPriority w:val="33"/>
    <w:rPr>
      <w:b/>
      <w:bCs/>
      <w:smallCaps/>
      <w:spacing w:val="5"/>
    </w:rPr>
  </w:style>
  <w:style w:type="character" w:customStyle="1" w:styleId="14">
    <w:name w:val="页眉 字符"/>
    <w:basedOn w:val="9"/>
    <w:link w:val="7"/>
    <w:qFormat/>
    <w:uiPriority w:val="99"/>
    <w:rPr>
      <w:sz w:val="18"/>
      <w:szCs w:val="18"/>
    </w:rPr>
  </w:style>
  <w:style w:type="character" w:customStyle="1" w:styleId="15">
    <w:name w:val="页脚 字符"/>
    <w:basedOn w:val="9"/>
    <w:link w:val="6"/>
    <w:autoRedefine/>
    <w:qFormat/>
    <w:uiPriority w:val="99"/>
    <w:rPr>
      <w:sz w:val="18"/>
      <w:szCs w:val="18"/>
    </w:rPr>
  </w:style>
  <w:style w:type="character" w:customStyle="1" w:styleId="16">
    <w:name w:val="纯文本 字符"/>
    <w:basedOn w:val="9"/>
    <w:link w:val="4"/>
    <w:autoRedefine/>
    <w:qFormat/>
    <w:uiPriority w:val="0"/>
    <w:rPr>
      <w:rFonts w:ascii="宋体" w:hAnsi="Courier New" w:eastAsia="宋体" w:cs="Times New Roman"/>
      <w:szCs w:val="20"/>
    </w:rPr>
  </w:style>
  <w:style w:type="character" w:customStyle="1" w:styleId="17">
    <w:name w:val="批注框文本 字符"/>
    <w:basedOn w:val="9"/>
    <w:link w:val="5"/>
    <w:autoRedefine/>
    <w:semiHidden/>
    <w:qFormat/>
    <w:uiPriority w:val="99"/>
    <w:rPr>
      <w:kern w:val="2"/>
      <w:sz w:val="18"/>
      <w:szCs w:val="18"/>
    </w:rPr>
  </w:style>
  <w:style w:type="paragraph" w:customStyle="1" w:styleId="18">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381</Words>
  <Characters>2177</Characters>
  <Lines>18</Lines>
  <Paragraphs>5</Paragraphs>
  <TotalTime>7</TotalTime>
  <ScaleCrop>false</ScaleCrop>
  <LinksUpToDate>false</LinksUpToDate>
  <CharactersWithSpaces>2553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2023-03-01T09:47:00Z</dcterms:created>
  <dc:creator>Administrator</dc:creator>
  <cp:lastModifiedBy>王达达</cp:lastModifiedBy>
  <dcterms:modified xsi:type="dcterms:W3CDTF">2024-03-19T06:46:40Z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0D464D7BBEC44F678BF7641D3ADA8636</vt:lpwstr>
  </property>
</Properties>
</file>