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重庆市移动电源产品质量监督抽查实施细则（202</w:t>
      </w:r>
      <w:r>
        <w:rPr>
          <w:rFonts w:ascii="方正小标宋简体" w:hAnsi="仿宋" w:eastAsia="方正小标宋简体" w:cs="方正仿宋简体"/>
          <w:color w:val="000000"/>
          <w:sz w:val="32"/>
          <w:szCs w:val="32"/>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抽取样品</w:t>
      </w:r>
      <w:r>
        <w:rPr>
          <w:rFonts w:ascii="宋体" w:hAnsi="宋体"/>
          <w:szCs w:val="21"/>
        </w:rPr>
        <w:t>5</w:t>
      </w:r>
      <w:r>
        <w:rPr>
          <w:rFonts w:hint="eastAsia" w:ascii="宋体" w:hAnsi="宋体"/>
          <w:szCs w:val="21"/>
        </w:rPr>
        <w:t>台，其中</w:t>
      </w:r>
      <w:r>
        <w:rPr>
          <w:rFonts w:ascii="宋体" w:hAnsi="宋体"/>
          <w:szCs w:val="21"/>
        </w:rPr>
        <w:t>4</w:t>
      </w:r>
      <w:r>
        <w:rPr>
          <w:rFonts w:hint="eastAsia" w:ascii="宋体" w:hAnsi="宋体"/>
          <w:szCs w:val="21"/>
        </w:rPr>
        <w:t>台作为检验样品，</w:t>
      </w:r>
      <w:r>
        <w:rPr>
          <w:rFonts w:ascii="宋体" w:hAnsi="宋体"/>
          <w:szCs w:val="21"/>
        </w:rPr>
        <w:t>1</w:t>
      </w:r>
      <w:r>
        <w:rPr>
          <w:rFonts w:hint="eastAsia" w:ascii="宋体" w:hAnsi="宋体"/>
          <w:szCs w:val="21"/>
        </w:rPr>
        <w:t>台作为备用样品。</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rPr>
          <w:rFonts w:ascii="黑体" w:hAnsi="宋体" w:eastAsia="黑体"/>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54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544" w:type="dxa"/>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3685" w:type="dxa"/>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1</w:t>
            </w:r>
          </w:p>
        </w:tc>
        <w:tc>
          <w:tcPr>
            <w:tcW w:w="3544" w:type="dxa"/>
            <w:vAlign w:val="center"/>
          </w:tcPr>
          <w:p>
            <w:pPr>
              <w:snapToGrid w:val="0"/>
              <w:spacing w:line="440" w:lineRule="exact"/>
              <w:jc w:val="center"/>
              <w:rPr>
                <w:rFonts w:ascii="宋体" w:hAnsi="宋体"/>
                <w:color w:val="000000"/>
                <w:szCs w:val="21"/>
              </w:rPr>
            </w:pPr>
            <w:r>
              <w:rPr>
                <w:color w:val="000000"/>
                <w:szCs w:val="21"/>
              </w:rPr>
              <w:t>接触温度限值</w:t>
            </w:r>
          </w:p>
        </w:tc>
        <w:tc>
          <w:tcPr>
            <w:tcW w:w="3685" w:type="dxa"/>
            <w:vAlign w:val="center"/>
          </w:tcPr>
          <w:p>
            <w:pPr>
              <w:snapToGrid w:val="0"/>
              <w:spacing w:line="440" w:lineRule="exact"/>
              <w:jc w:val="center"/>
              <w:rPr>
                <w:rFonts w:ascii="宋体" w:hAnsi="宋体"/>
                <w:color w:val="000000"/>
                <w:szCs w:val="21"/>
              </w:rPr>
            </w:pPr>
            <w:r>
              <w:rPr>
                <w:color w:val="000000"/>
                <w:szCs w:val="21"/>
              </w:rPr>
              <w:t>GB 4943.1</w:t>
            </w:r>
            <w:r>
              <w:t>—</w:t>
            </w:r>
            <w:r>
              <w:rPr>
                <w:color w:val="00000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2</w:t>
            </w:r>
          </w:p>
        </w:tc>
        <w:tc>
          <w:tcPr>
            <w:tcW w:w="3544" w:type="dxa"/>
            <w:vAlign w:val="center"/>
          </w:tcPr>
          <w:p>
            <w:pPr>
              <w:snapToGrid w:val="0"/>
              <w:spacing w:line="440" w:lineRule="exact"/>
              <w:jc w:val="center"/>
              <w:rPr>
                <w:rFonts w:ascii="宋体" w:hAnsi="宋体"/>
                <w:color w:val="000000"/>
                <w:szCs w:val="21"/>
              </w:rPr>
            </w:pPr>
            <w:r>
              <w:rPr>
                <w:color w:val="000000"/>
                <w:szCs w:val="21"/>
              </w:rPr>
              <w:t>常温下的有效输出容量</w:t>
            </w:r>
          </w:p>
        </w:tc>
        <w:tc>
          <w:tcPr>
            <w:tcW w:w="3685" w:type="dxa"/>
            <w:vAlign w:val="center"/>
          </w:tcPr>
          <w:p>
            <w:pPr>
              <w:snapToGrid w:val="0"/>
              <w:spacing w:line="440" w:lineRule="exact"/>
              <w:jc w:val="center"/>
              <w:rPr>
                <w:rFonts w:ascii="宋体" w:hAnsi="宋体"/>
                <w:color w:val="000000"/>
                <w:szCs w:val="21"/>
              </w:rPr>
            </w:pPr>
            <w:r>
              <w:rPr>
                <w:color w:val="000000"/>
                <w:szCs w:val="21"/>
              </w:rPr>
              <w:t>GB/T 35590</w:t>
            </w:r>
            <w:r>
              <w:t>—</w:t>
            </w:r>
            <w:r>
              <w:rPr>
                <w:color w:val="00000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3</w:t>
            </w:r>
          </w:p>
        </w:tc>
        <w:tc>
          <w:tcPr>
            <w:tcW w:w="3544" w:type="dxa"/>
            <w:vAlign w:val="center"/>
          </w:tcPr>
          <w:p>
            <w:pPr>
              <w:snapToGrid w:val="0"/>
              <w:spacing w:line="440" w:lineRule="exact"/>
              <w:jc w:val="center"/>
              <w:rPr>
                <w:rFonts w:ascii="宋体" w:hAnsi="宋体"/>
                <w:color w:val="000000"/>
                <w:szCs w:val="21"/>
              </w:rPr>
            </w:pPr>
            <w:r>
              <w:rPr>
                <w:color w:val="000000"/>
                <w:szCs w:val="21"/>
              </w:rPr>
              <w:t>转换效率</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4</w:t>
            </w:r>
          </w:p>
        </w:tc>
        <w:tc>
          <w:tcPr>
            <w:tcW w:w="3544" w:type="dxa"/>
            <w:vAlign w:val="center"/>
          </w:tcPr>
          <w:p>
            <w:pPr>
              <w:snapToGrid w:val="0"/>
              <w:spacing w:line="440" w:lineRule="exact"/>
              <w:jc w:val="center"/>
              <w:rPr>
                <w:rFonts w:ascii="宋体" w:hAnsi="宋体"/>
                <w:color w:val="000000"/>
                <w:szCs w:val="21"/>
              </w:rPr>
            </w:pPr>
            <w:r>
              <w:rPr>
                <w:color w:val="000000"/>
                <w:szCs w:val="21"/>
              </w:rPr>
              <w:t>输出电压</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5</w:t>
            </w:r>
          </w:p>
        </w:tc>
        <w:tc>
          <w:tcPr>
            <w:tcW w:w="3544" w:type="dxa"/>
            <w:vAlign w:val="center"/>
          </w:tcPr>
          <w:p>
            <w:pPr>
              <w:snapToGrid w:val="0"/>
              <w:spacing w:line="440" w:lineRule="exact"/>
              <w:jc w:val="center"/>
              <w:rPr>
                <w:rFonts w:ascii="宋体" w:hAnsi="宋体"/>
                <w:color w:val="000000"/>
                <w:szCs w:val="21"/>
              </w:rPr>
            </w:pPr>
            <w:r>
              <w:rPr>
                <w:color w:val="000000"/>
                <w:szCs w:val="21"/>
              </w:rPr>
              <w:t>短路保护</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6</w:t>
            </w:r>
          </w:p>
        </w:tc>
        <w:tc>
          <w:tcPr>
            <w:tcW w:w="3544" w:type="dxa"/>
            <w:vAlign w:val="center"/>
          </w:tcPr>
          <w:p>
            <w:pPr>
              <w:snapToGrid w:val="0"/>
              <w:spacing w:line="440" w:lineRule="exact"/>
              <w:jc w:val="center"/>
              <w:rPr>
                <w:rFonts w:ascii="宋体" w:hAnsi="宋体"/>
                <w:color w:val="000000"/>
                <w:szCs w:val="21"/>
              </w:rPr>
            </w:pPr>
            <w:r>
              <w:rPr>
                <w:color w:val="000000"/>
                <w:szCs w:val="21"/>
              </w:rPr>
              <w:t>碰撞</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7</w:t>
            </w:r>
          </w:p>
        </w:tc>
        <w:tc>
          <w:tcPr>
            <w:tcW w:w="3544" w:type="dxa"/>
            <w:vAlign w:val="center"/>
          </w:tcPr>
          <w:p>
            <w:pPr>
              <w:snapToGrid w:val="0"/>
              <w:spacing w:line="440" w:lineRule="exact"/>
              <w:jc w:val="center"/>
              <w:rPr>
                <w:rFonts w:ascii="宋体" w:hAnsi="宋体"/>
                <w:color w:val="000000"/>
                <w:szCs w:val="21"/>
              </w:rPr>
            </w:pPr>
            <w:r>
              <w:rPr>
                <w:color w:val="000000"/>
                <w:szCs w:val="21"/>
              </w:rPr>
              <w:t>自由跌落</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8</w:t>
            </w:r>
          </w:p>
        </w:tc>
        <w:tc>
          <w:tcPr>
            <w:tcW w:w="3544" w:type="dxa"/>
            <w:vAlign w:val="center"/>
          </w:tcPr>
          <w:p>
            <w:pPr>
              <w:snapToGrid w:val="0"/>
              <w:spacing w:line="440" w:lineRule="exact"/>
              <w:jc w:val="center"/>
              <w:rPr>
                <w:rFonts w:ascii="宋体" w:hAnsi="宋体"/>
                <w:color w:val="000000"/>
                <w:szCs w:val="21"/>
              </w:rPr>
            </w:pPr>
            <w:r>
              <w:rPr>
                <w:color w:val="000000"/>
                <w:szCs w:val="21"/>
              </w:rPr>
              <w:t>无线电骚扰</w:t>
            </w:r>
          </w:p>
        </w:tc>
        <w:tc>
          <w:tcPr>
            <w:tcW w:w="3685" w:type="dxa"/>
            <w:vAlign w:val="center"/>
          </w:tcPr>
          <w:p>
            <w:pPr>
              <w:snapToGrid w:val="0"/>
              <w:spacing w:line="440" w:lineRule="exact"/>
              <w:jc w:val="center"/>
              <w:rPr>
                <w:rFonts w:ascii="宋体" w:hAnsi="宋体"/>
                <w:color w:val="000000"/>
                <w:szCs w:val="21"/>
              </w:rPr>
            </w:pPr>
            <w:r>
              <w:rPr>
                <w:color w:val="000000"/>
                <w:szCs w:val="21"/>
              </w:rPr>
              <w:t>GB/T 35590—2017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9</w:t>
            </w:r>
          </w:p>
        </w:tc>
        <w:tc>
          <w:tcPr>
            <w:tcW w:w="3544" w:type="dxa"/>
            <w:vAlign w:val="center"/>
          </w:tcPr>
          <w:p>
            <w:pPr>
              <w:snapToGrid w:val="0"/>
              <w:spacing w:line="440" w:lineRule="exact"/>
              <w:jc w:val="center"/>
              <w:rPr>
                <w:rFonts w:ascii="宋体" w:hAnsi="宋体"/>
                <w:color w:val="000000"/>
                <w:szCs w:val="21"/>
              </w:rPr>
            </w:pPr>
            <w:r>
              <w:rPr>
                <w:color w:val="000000"/>
                <w:szCs w:val="21"/>
              </w:rPr>
              <w:t>过充电</w:t>
            </w:r>
          </w:p>
        </w:tc>
        <w:tc>
          <w:tcPr>
            <w:tcW w:w="3685" w:type="dxa"/>
            <w:vAlign w:val="center"/>
          </w:tcPr>
          <w:p>
            <w:pPr>
              <w:snapToGrid w:val="0"/>
              <w:spacing w:line="440" w:lineRule="exact"/>
              <w:jc w:val="center"/>
              <w:rPr>
                <w:rFonts w:ascii="宋体" w:hAnsi="宋体"/>
                <w:color w:val="000000"/>
                <w:szCs w:val="21"/>
              </w:rPr>
            </w:pPr>
            <w:r>
              <w:rPr>
                <w:color w:val="000000"/>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napToGrid w:val="0"/>
              <w:spacing w:line="440" w:lineRule="exact"/>
              <w:jc w:val="center"/>
              <w:rPr>
                <w:rFonts w:ascii="宋体" w:hAnsi="宋体"/>
                <w:color w:val="000000"/>
                <w:szCs w:val="21"/>
              </w:rPr>
            </w:pPr>
            <w:r>
              <w:rPr>
                <w:color w:val="000000"/>
                <w:szCs w:val="21"/>
              </w:rPr>
              <w:t>10</w:t>
            </w:r>
          </w:p>
        </w:tc>
        <w:tc>
          <w:tcPr>
            <w:tcW w:w="3544" w:type="dxa"/>
            <w:vAlign w:val="center"/>
          </w:tcPr>
          <w:p>
            <w:pPr>
              <w:snapToGrid w:val="0"/>
              <w:spacing w:line="440" w:lineRule="exact"/>
              <w:jc w:val="center"/>
              <w:rPr>
                <w:rFonts w:ascii="宋体" w:hAnsi="宋体"/>
                <w:color w:val="000000"/>
                <w:szCs w:val="21"/>
              </w:rPr>
            </w:pPr>
            <w:r>
              <w:rPr>
                <w:rFonts w:hint="eastAsia"/>
                <w:color w:val="000000"/>
                <w:szCs w:val="21"/>
              </w:rPr>
              <w:t>高温</w:t>
            </w:r>
            <w:r>
              <w:rPr>
                <w:color w:val="000000"/>
                <w:szCs w:val="21"/>
              </w:rPr>
              <w:t>外部短路</w:t>
            </w:r>
          </w:p>
        </w:tc>
        <w:tc>
          <w:tcPr>
            <w:tcW w:w="3685" w:type="dxa"/>
            <w:vAlign w:val="center"/>
          </w:tcPr>
          <w:p>
            <w:pPr>
              <w:snapToGrid w:val="0"/>
              <w:spacing w:line="440" w:lineRule="exact"/>
              <w:jc w:val="center"/>
              <w:rPr>
                <w:rFonts w:ascii="宋体" w:hAnsi="宋体"/>
                <w:color w:val="000000"/>
                <w:szCs w:val="21"/>
              </w:rPr>
            </w:pPr>
            <w:r>
              <w:rPr>
                <w:color w:val="000000"/>
                <w:szCs w:val="21"/>
              </w:rPr>
              <w:t>GB 31241-2022</w:t>
            </w:r>
          </w:p>
        </w:tc>
      </w:tr>
    </w:tbl>
    <w:p>
      <w:pPr>
        <w:snapToGrid w:val="0"/>
        <w:spacing w:line="440" w:lineRule="exact"/>
        <w:jc w:val="center"/>
        <w:rPr>
          <w:color w:val="000000"/>
          <w:szCs w:val="21"/>
        </w:rPr>
      </w:pPr>
    </w:p>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rPr>
      </w:pPr>
      <w:r>
        <w:rPr>
          <w:rFonts w:hint="eastAsia" w:ascii="宋体" w:hAnsi="宋体"/>
          <w:szCs w:val="21"/>
        </w:rPr>
        <w:t>GB 4943.1-2022  音视频、信息技术和通信技术设备 第1部分：安全要求</w:t>
      </w:r>
    </w:p>
    <w:p>
      <w:pPr>
        <w:snapToGrid w:val="0"/>
        <w:spacing w:line="440" w:lineRule="exact"/>
        <w:ind w:firstLine="420" w:firstLineChars="200"/>
        <w:rPr>
          <w:rFonts w:ascii="宋体" w:hAnsi="宋体"/>
          <w:szCs w:val="21"/>
        </w:rPr>
      </w:pPr>
      <w:r>
        <w:rPr>
          <w:rFonts w:hint="eastAsia" w:ascii="宋体" w:hAnsi="宋体"/>
          <w:szCs w:val="21"/>
        </w:rPr>
        <w:t>GB/T 35590-2017  信息技术便携式数字设备用移动电源通用规范</w:t>
      </w:r>
    </w:p>
    <w:p>
      <w:pPr>
        <w:snapToGrid w:val="0"/>
        <w:spacing w:line="440" w:lineRule="exact"/>
        <w:ind w:firstLine="420" w:firstLineChars="200"/>
        <w:rPr>
          <w:rFonts w:ascii="宋体" w:hAnsi="宋体"/>
          <w:szCs w:val="21"/>
        </w:rPr>
      </w:pPr>
      <w:r>
        <w:rPr>
          <w:rFonts w:ascii="宋体" w:hAnsi="宋体"/>
          <w:szCs w:val="21"/>
        </w:rPr>
        <w:t>GB 31241—2022 便携式电子产品用锂离子电池和电池组 安全技术规范</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65E789-7765-43C3-B6CC-8D562A3EF7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1CC40D1-1401-48FB-B6F7-754B9F6B6FE0}"/>
  </w:font>
  <w:font w:name="方正小标宋简体">
    <w:altName w:val="Arial Unicode MS"/>
    <w:panose1 w:val="02000000000000000000"/>
    <w:charset w:val="86"/>
    <w:family w:val="auto"/>
    <w:pitch w:val="default"/>
    <w:sig w:usb0="00000000" w:usb1="00000000" w:usb2="00000012" w:usb3="00000000" w:csb0="00040001" w:csb1="00000000"/>
    <w:embedRegular r:id="rId3" w:fontKey="{8B77AF1F-EB2D-40D2-9F04-54970BA921AB}"/>
  </w:font>
  <w:font w:name="仿宋">
    <w:panose1 w:val="02010609060101010101"/>
    <w:charset w:val="86"/>
    <w:family w:val="modern"/>
    <w:pitch w:val="default"/>
    <w:sig w:usb0="800002BF" w:usb1="38CF7CFA" w:usb2="00000016" w:usb3="00000000" w:csb0="00040001" w:csb1="00000000"/>
    <w:embedRegular r:id="rId4" w:fontKey="{F9A76252-B322-4BF1-8EDE-AD5EF9CEA58F}"/>
  </w:font>
  <w:font w:name="方正仿宋简体">
    <w:panose1 w:val="02000000000000000000"/>
    <w:charset w:val="86"/>
    <w:family w:val="auto"/>
    <w:pitch w:val="default"/>
    <w:sig w:usb0="A00002BF" w:usb1="184F6CFA" w:usb2="00000012" w:usb3="00000000" w:csb0="00040001" w:csb1="00000000"/>
    <w:embedRegular r:id="rId5" w:fontKey="{9B674CFF-8D2D-4257-A5F9-94C2C17AABE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02142"/>
    <w:rsid w:val="00026B2A"/>
    <w:rsid w:val="000E1EB5"/>
    <w:rsid w:val="00131931"/>
    <w:rsid w:val="00213C33"/>
    <w:rsid w:val="002617FC"/>
    <w:rsid w:val="003807E2"/>
    <w:rsid w:val="0069296E"/>
    <w:rsid w:val="006A1358"/>
    <w:rsid w:val="006C3589"/>
    <w:rsid w:val="00736F2D"/>
    <w:rsid w:val="007A1F31"/>
    <w:rsid w:val="007A24F7"/>
    <w:rsid w:val="007A6BCD"/>
    <w:rsid w:val="00852C2E"/>
    <w:rsid w:val="009D2CC9"/>
    <w:rsid w:val="00A14CF6"/>
    <w:rsid w:val="00A3111B"/>
    <w:rsid w:val="00A71E49"/>
    <w:rsid w:val="00AC74A2"/>
    <w:rsid w:val="00C01DFA"/>
    <w:rsid w:val="00C948A2"/>
    <w:rsid w:val="00CC05FB"/>
    <w:rsid w:val="00EA5934"/>
    <w:rsid w:val="00ED014B"/>
    <w:rsid w:val="00F9120A"/>
    <w:rsid w:val="00FD1D63"/>
    <w:rsid w:val="01B555F8"/>
    <w:rsid w:val="12497A22"/>
    <w:rsid w:val="161D21D7"/>
    <w:rsid w:val="18A94C5E"/>
    <w:rsid w:val="22C07AC2"/>
    <w:rsid w:val="22E66696"/>
    <w:rsid w:val="2F180BFD"/>
    <w:rsid w:val="343706EB"/>
    <w:rsid w:val="38BA27F0"/>
    <w:rsid w:val="3F927A41"/>
    <w:rsid w:val="401E6AAB"/>
    <w:rsid w:val="423C5385"/>
    <w:rsid w:val="4DF729C7"/>
    <w:rsid w:val="4FDC0F3A"/>
    <w:rsid w:val="527821A3"/>
    <w:rsid w:val="53D24E8E"/>
    <w:rsid w:val="5F107F06"/>
    <w:rsid w:val="668B1F0D"/>
    <w:rsid w:val="6ABA2C01"/>
    <w:rsid w:val="6B6E16B4"/>
    <w:rsid w:val="73721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CMQ</Company>
  <Pages>2</Pages>
  <Words>142</Words>
  <Characters>814</Characters>
  <Lines>6</Lines>
  <Paragraphs>1</Paragraphs>
  <TotalTime>16</TotalTime>
  <ScaleCrop>false</ScaleCrop>
  <LinksUpToDate>false</LinksUpToDate>
  <CharactersWithSpaces>955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2023-03-01T02:38:00Z</dcterms:created>
  <dc:creator>pc</dc:creator>
  <cp:lastModifiedBy>王达达</cp:lastModifiedBy>
  <dcterms:modified xsi:type="dcterms:W3CDTF">2024-03-21T06:27:13Z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43271E21B0BE46B28EC301F75931DA27</vt:lpwstr>
  </property>
</Properties>
</file>