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重庆市鼠标产品质量监督抽查实施细则（2024年</w:t>
      </w:r>
      <w:bookmarkStart w:id="0" w:name="_GoBack"/>
      <w:bookmarkEnd w:id="0"/>
      <w:r>
        <w:rPr>
          <w:rFonts w:hint="eastAsia" w:ascii="方正小标宋简体" w:hAnsi="仿宋" w:eastAsia="方正小标宋简体" w:cs="方正仿宋简体"/>
          <w:color w:val="000000"/>
          <w:sz w:val="32"/>
          <w:szCs w:val="32"/>
        </w:rPr>
        <w:t>）</w:t>
      </w:r>
    </w:p>
    <w:p>
      <w:pPr>
        <w:snapToGrid w:val="0"/>
        <w:spacing w:line="440" w:lineRule="exact"/>
        <w:rPr>
          <w:rFonts w:eastAsia="方正小标宋简体"/>
          <w:szCs w:val="21"/>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pPr>
        <w:snapToGrid w:val="0"/>
        <w:spacing w:line="440" w:lineRule="exact"/>
        <w:ind w:firstLine="420" w:firstLineChars="200"/>
        <w:rPr>
          <w:rFonts w:ascii="宋体" w:hAnsi="宋体"/>
          <w:szCs w:val="21"/>
        </w:rPr>
      </w:pPr>
      <w:r>
        <w:rPr>
          <w:rFonts w:hint="eastAsia"/>
          <w:szCs w:val="21"/>
        </w:rPr>
        <w:t>每批次</w:t>
      </w:r>
      <w:r>
        <w:rPr>
          <w:rFonts w:hint="eastAsia" w:ascii="宋体" w:hAnsi="宋体"/>
          <w:szCs w:val="21"/>
        </w:rPr>
        <w:t xml:space="preserve">抽取样品2台，其中1台作为检验样品，1台作为备用样品。  </w:t>
      </w:r>
    </w:p>
    <w:p>
      <w:pPr>
        <w:snapToGrid w:val="0"/>
        <w:spacing w:line="440" w:lineRule="exact"/>
        <w:ind w:firstLine="420" w:firstLineChars="200"/>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rPr>
          <w:rFonts w:ascii="黑体" w:hAnsi="宋体" w:eastAsia="黑体"/>
          <w:szCs w:val="21"/>
        </w:rPr>
      </w:pPr>
      <w:r>
        <w:rPr>
          <w:rFonts w:hint="eastAsia" w:ascii="黑体" w:hAnsi="宋体" w:eastAsia="黑体"/>
          <w:szCs w:val="21"/>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4082"/>
        <w:gridCol w:w="4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Merge w:val="restart"/>
            <w:tcBorders>
              <w:top w:val="single" w:color="auto" w:sz="4" w:space="0"/>
              <w:left w:val="single" w:color="auto" w:sz="4" w:space="0"/>
              <w:right w:val="single" w:color="auto" w:sz="4" w:space="0"/>
            </w:tcBorders>
            <w:vAlign w:val="center"/>
          </w:tcPr>
          <w:p>
            <w:pPr>
              <w:spacing w:line="250" w:lineRule="exact"/>
              <w:jc w:val="center"/>
              <w:rPr>
                <w:rFonts w:ascii="宋体" w:hAnsi="宋体"/>
              </w:rPr>
            </w:pPr>
            <w:r>
              <w:rPr>
                <w:rFonts w:hint="eastAsia" w:ascii="宋体" w:hAnsi="宋体"/>
              </w:rPr>
              <w:t>序号</w:t>
            </w:r>
          </w:p>
        </w:tc>
        <w:tc>
          <w:tcPr>
            <w:tcW w:w="4082" w:type="dxa"/>
            <w:vMerge w:val="restart"/>
            <w:tcBorders>
              <w:left w:val="single" w:color="auto" w:sz="4" w:space="0"/>
            </w:tcBorders>
            <w:vAlign w:val="center"/>
          </w:tcPr>
          <w:p>
            <w:pPr>
              <w:spacing w:line="250" w:lineRule="exact"/>
              <w:jc w:val="center"/>
              <w:rPr>
                <w:rFonts w:ascii="宋体" w:hAnsi="宋体"/>
              </w:rPr>
            </w:pPr>
            <w:r>
              <w:rPr>
                <w:rFonts w:hint="eastAsia" w:ascii="宋体" w:hAnsi="宋体"/>
              </w:rPr>
              <w:t>检验项目</w:t>
            </w:r>
          </w:p>
        </w:tc>
        <w:tc>
          <w:tcPr>
            <w:tcW w:w="4082" w:type="dxa"/>
            <w:vMerge w:val="restart"/>
            <w:vAlign w:val="center"/>
          </w:tcPr>
          <w:p>
            <w:pPr>
              <w:spacing w:line="250" w:lineRule="exact"/>
              <w:jc w:val="center"/>
              <w:rPr>
                <w:rFonts w:ascii="宋体" w:hAnsi="宋体"/>
              </w:rPr>
            </w:pPr>
            <w:r>
              <w:rPr>
                <w:rFonts w:hint="eastAsia" w:ascii="宋体" w:hAnsi="宋体"/>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Merge w:val="continue"/>
            <w:tcBorders>
              <w:left w:val="single" w:color="auto" w:sz="4" w:space="0"/>
              <w:bottom w:val="single" w:color="auto" w:sz="4" w:space="0"/>
              <w:right w:val="single" w:color="auto" w:sz="4" w:space="0"/>
            </w:tcBorders>
            <w:vAlign w:val="center"/>
          </w:tcPr>
          <w:p>
            <w:pPr>
              <w:spacing w:line="250" w:lineRule="exact"/>
              <w:jc w:val="center"/>
              <w:rPr>
                <w:rFonts w:ascii="宋体" w:hAnsi="宋体"/>
              </w:rPr>
            </w:pPr>
          </w:p>
        </w:tc>
        <w:tc>
          <w:tcPr>
            <w:tcW w:w="4082" w:type="dxa"/>
            <w:vMerge w:val="continue"/>
            <w:tcBorders>
              <w:left w:val="single" w:color="auto" w:sz="4" w:space="0"/>
            </w:tcBorders>
            <w:vAlign w:val="center"/>
          </w:tcPr>
          <w:p>
            <w:pPr>
              <w:spacing w:line="250" w:lineRule="exact"/>
              <w:jc w:val="center"/>
              <w:rPr>
                <w:rFonts w:ascii="宋体" w:hAnsi="宋体"/>
              </w:rPr>
            </w:pPr>
          </w:p>
        </w:tc>
        <w:tc>
          <w:tcPr>
            <w:tcW w:w="4082" w:type="dxa"/>
            <w:vMerge w:val="continue"/>
            <w:vAlign w:val="center"/>
          </w:tcPr>
          <w:p>
            <w:pPr>
              <w:spacing w:line="25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cs="宋体"/>
                <w:kern w:val="0"/>
                <w:szCs w:val="21"/>
              </w:rPr>
              <w:t>1</w:t>
            </w:r>
          </w:p>
        </w:tc>
        <w:tc>
          <w:tcPr>
            <w:tcW w:w="4082" w:type="dxa"/>
            <w:vAlign w:val="center"/>
          </w:tcPr>
          <w:p>
            <w:pPr>
              <w:snapToGrid w:val="0"/>
              <w:spacing w:before="62" w:beforeLines="20" w:after="62" w:afterLines="20" w:line="240" w:lineRule="atLeast"/>
              <w:jc w:val="center"/>
              <w:rPr>
                <w:rFonts w:ascii="宋体" w:hAnsi="宋体" w:cs="宋体"/>
                <w:kern w:val="0"/>
                <w:szCs w:val="21"/>
              </w:rPr>
            </w:pPr>
            <w:r>
              <w:rPr>
                <w:rFonts w:hint="eastAsia" w:ascii="宋体" w:hAnsi="宋体" w:cs="宋体"/>
                <w:kern w:val="0"/>
                <w:szCs w:val="21"/>
              </w:rPr>
              <w:t>电源适应能力</w:t>
            </w:r>
          </w:p>
        </w:tc>
        <w:tc>
          <w:tcPr>
            <w:tcW w:w="4082" w:type="dxa"/>
          </w:tcPr>
          <w:p>
            <w:pPr>
              <w:spacing w:before="62" w:beforeLines="20" w:after="62" w:afterLines="20" w:line="240" w:lineRule="atLeast"/>
              <w:jc w:val="center"/>
              <w:rPr>
                <w:rFonts w:ascii="宋体" w:hAnsi="宋体"/>
              </w:rPr>
            </w:pPr>
            <w:r>
              <w:rPr>
                <w:rFonts w:ascii="宋体" w:hAnsi="宋体" w:cs="宋体"/>
                <w:kern w:val="0"/>
                <w:szCs w:val="21"/>
              </w:rPr>
              <w:t>GB/T 26245-2010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cs="宋体"/>
                <w:kern w:val="0"/>
                <w:szCs w:val="21"/>
              </w:rPr>
              <w:t>2</w:t>
            </w:r>
          </w:p>
        </w:tc>
        <w:tc>
          <w:tcPr>
            <w:tcW w:w="4082" w:type="dxa"/>
            <w:vAlign w:val="center"/>
          </w:tcPr>
          <w:p>
            <w:pPr>
              <w:snapToGrid w:val="0"/>
              <w:spacing w:before="62" w:beforeLines="20" w:after="62" w:afterLines="20" w:line="240" w:lineRule="atLeast"/>
              <w:jc w:val="center"/>
              <w:rPr>
                <w:rFonts w:ascii="宋体" w:hAnsi="宋体" w:cs="宋体"/>
                <w:kern w:val="0"/>
                <w:szCs w:val="21"/>
              </w:rPr>
            </w:pPr>
            <w:r>
              <w:rPr>
                <w:rFonts w:hint="eastAsia" w:ascii="宋体" w:hAnsi="宋体" w:cs="宋体"/>
                <w:kern w:val="0"/>
                <w:szCs w:val="21"/>
              </w:rPr>
              <w:t>工作温度下限试验</w:t>
            </w:r>
          </w:p>
        </w:tc>
        <w:tc>
          <w:tcPr>
            <w:tcW w:w="4082" w:type="dxa"/>
          </w:tcPr>
          <w:p>
            <w:pPr>
              <w:spacing w:before="62" w:beforeLines="20" w:after="62" w:afterLines="20" w:line="240" w:lineRule="atLeast"/>
              <w:jc w:val="center"/>
              <w:rPr>
                <w:rFonts w:ascii="宋体" w:hAnsi="宋体"/>
              </w:rPr>
            </w:pPr>
            <w:r>
              <w:rPr>
                <w:rFonts w:ascii="宋体" w:hAnsi="宋体" w:cs="宋体"/>
                <w:kern w:val="0"/>
                <w:szCs w:val="21"/>
              </w:rPr>
              <w:t>GB/T 26245-2010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cs="宋体"/>
                <w:kern w:val="0"/>
                <w:szCs w:val="21"/>
              </w:rPr>
              <w:t>3</w:t>
            </w:r>
          </w:p>
        </w:tc>
        <w:tc>
          <w:tcPr>
            <w:tcW w:w="4082" w:type="dxa"/>
            <w:vAlign w:val="center"/>
          </w:tcPr>
          <w:p>
            <w:pPr>
              <w:pStyle w:val="9"/>
              <w:numPr>
                <w:ilvl w:val="0"/>
                <w:numId w:val="0"/>
              </w:numPr>
              <w:spacing w:before="62" w:beforeLines="20" w:after="62" w:afterLines="20" w:line="240" w:lineRule="atLeast"/>
              <w:jc w:val="center"/>
              <w:rPr>
                <w:rFonts w:ascii="宋体" w:hAnsi="宋体" w:cs="宋体"/>
                <w:szCs w:val="21"/>
              </w:rPr>
            </w:pPr>
            <w:r>
              <w:rPr>
                <w:rFonts w:hint="eastAsia" w:ascii="宋体" w:hAnsi="宋体" w:eastAsia="宋体" w:cs="宋体"/>
                <w:szCs w:val="21"/>
              </w:rPr>
              <w:t>贮存温度下限试验</w:t>
            </w:r>
          </w:p>
        </w:tc>
        <w:tc>
          <w:tcPr>
            <w:tcW w:w="4082" w:type="dxa"/>
          </w:tcPr>
          <w:p>
            <w:pPr>
              <w:spacing w:before="62" w:beforeLines="20" w:after="62" w:afterLines="20" w:line="240" w:lineRule="atLeast"/>
              <w:jc w:val="center"/>
              <w:rPr>
                <w:rFonts w:ascii="宋体" w:hAnsi="宋体"/>
              </w:rPr>
            </w:pPr>
            <w:r>
              <w:rPr>
                <w:rFonts w:ascii="宋体" w:hAnsi="宋体" w:cs="宋体"/>
                <w:kern w:val="0"/>
                <w:szCs w:val="21"/>
              </w:rPr>
              <w:t>GB/T 26245-2010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cs="宋体"/>
                <w:kern w:val="0"/>
                <w:szCs w:val="21"/>
              </w:rPr>
              <w:t>4</w:t>
            </w:r>
          </w:p>
        </w:tc>
        <w:tc>
          <w:tcPr>
            <w:tcW w:w="4082" w:type="dxa"/>
            <w:vAlign w:val="center"/>
          </w:tcPr>
          <w:p>
            <w:pPr>
              <w:widowControl/>
              <w:snapToGrid w:val="0"/>
              <w:spacing w:before="62" w:beforeLines="20" w:after="62" w:afterLines="20" w:line="240" w:lineRule="atLeast"/>
              <w:jc w:val="center"/>
              <w:rPr>
                <w:rFonts w:ascii="宋体" w:hAnsi="宋体" w:cs="宋体"/>
                <w:kern w:val="0"/>
                <w:szCs w:val="21"/>
              </w:rPr>
            </w:pPr>
            <w:r>
              <w:rPr>
                <w:rFonts w:hint="eastAsia" w:ascii="宋体" w:hAnsi="宋体" w:cs="宋体"/>
                <w:kern w:val="0"/>
                <w:szCs w:val="21"/>
              </w:rPr>
              <w:t>工作条件下恒定湿热试验</w:t>
            </w:r>
          </w:p>
        </w:tc>
        <w:tc>
          <w:tcPr>
            <w:tcW w:w="4082" w:type="dxa"/>
          </w:tcPr>
          <w:p>
            <w:pPr>
              <w:spacing w:before="62" w:beforeLines="20" w:after="62" w:afterLines="20" w:line="240" w:lineRule="atLeast"/>
              <w:jc w:val="center"/>
              <w:rPr>
                <w:rFonts w:ascii="宋体" w:hAnsi="宋体"/>
              </w:rPr>
            </w:pPr>
            <w:r>
              <w:rPr>
                <w:rFonts w:ascii="宋体" w:hAnsi="宋体" w:cs="宋体"/>
                <w:kern w:val="0"/>
                <w:szCs w:val="21"/>
              </w:rPr>
              <w:t>GB/T 26245-2010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cs="宋体"/>
                <w:kern w:val="0"/>
                <w:szCs w:val="21"/>
              </w:rPr>
              <w:t>5</w:t>
            </w:r>
          </w:p>
        </w:tc>
        <w:tc>
          <w:tcPr>
            <w:tcW w:w="4082" w:type="dxa"/>
            <w:vAlign w:val="center"/>
          </w:tcPr>
          <w:p>
            <w:pPr>
              <w:snapToGrid w:val="0"/>
              <w:spacing w:before="62" w:beforeLines="20" w:after="62" w:afterLines="20" w:line="240" w:lineRule="atLeast"/>
              <w:jc w:val="center"/>
              <w:rPr>
                <w:rFonts w:ascii="宋体" w:hAnsi="宋体"/>
              </w:rPr>
            </w:pPr>
            <w:r>
              <w:rPr>
                <w:rFonts w:hint="eastAsia" w:ascii="宋体" w:hAnsi="宋体" w:cs="宋体"/>
                <w:kern w:val="0"/>
                <w:szCs w:val="21"/>
              </w:rPr>
              <w:t>贮存条件下恒定湿热试验</w:t>
            </w:r>
          </w:p>
        </w:tc>
        <w:tc>
          <w:tcPr>
            <w:tcW w:w="4082" w:type="dxa"/>
          </w:tcPr>
          <w:p>
            <w:pPr>
              <w:spacing w:before="62" w:beforeLines="20" w:after="62" w:afterLines="20" w:line="240" w:lineRule="atLeast"/>
              <w:jc w:val="center"/>
              <w:rPr>
                <w:rFonts w:ascii="宋体" w:hAnsi="宋体"/>
              </w:rPr>
            </w:pPr>
            <w:r>
              <w:rPr>
                <w:rFonts w:ascii="宋体" w:hAnsi="宋体" w:cs="宋体"/>
                <w:kern w:val="0"/>
                <w:szCs w:val="21"/>
              </w:rPr>
              <w:t>GB/T 26245-2010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cs="宋体"/>
                <w:kern w:val="0"/>
                <w:szCs w:val="21"/>
              </w:rPr>
              <w:t>6</w:t>
            </w:r>
          </w:p>
        </w:tc>
        <w:tc>
          <w:tcPr>
            <w:tcW w:w="4082" w:type="dxa"/>
            <w:vAlign w:val="center"/>
          </w:tcPr>
          <w:p>
            <w:pPr>
              <w:snapToGrid w:val="0"/>
              <w:spacing w:before="62" w:beforeLines="20" w:after="62" w:afterLines="20" w:line="240" w:lineRule="atLeast"/>
              <w:jc w:val="center"/>
              <w:rPr>
                <w:rFonts w:ascii="宋体" w:hAnsi="宋体"/>
              </w:rPr>
            </w:pPr>
            <w:r>
              <w:rPr>
                <w:rFonts w:hint="eastAsia" w:ascii="宋体" w:hAnsi="宋体" w:cs="宋体"/>
                <w:kern w:val="0"/>
                <w:szCs w:val="21"/>
              </w:rPr>
              <w:t>冲击试验</w:t>
            </w:r>
          </w:p>
        </w:tc>
        <w:tc>
          <w:tcPr>
            <w:tcW w:w="4082" w:type="dxa"/>
          </w:tcPr>
          <w:p>
            <w:pPr>
              <w:spacing w:before="62" w:beforeLines="20" w:after="62" w:afterLines="20" w:line="240" w:lineRule="atLeast"/>
              <w:jc w:val="center"/>
              <w:rPr>
                <w:rFonts w:ascii="宋体" w:hAnsi="宋体"/>
              </w:rPr>
            </w:pPr>
            <w:r>
              <w:rPr>
                <w:rFonts w:ascii="宋体" w:hAnsi="宋体" w:cs="宋体"/>
                <w:kern w:val="0"/>
                <w:szCs w:val="21"/>
              </w:rPr>
              <w:t>GB/T 26245-2010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cs="宋体"/>
                <w:kern w:val="0"/>
                <w:szCs w:val="21"/>
              </w:rPr>
              <w:t>7</w:t>
            </w:r>
          </w:p>
        </w:tc>
        <w:tc>
          <w:tcPr>
            <w:tcW w:w="4082" w:type="dxa"/>
            <w:vAlign w:val="center"/>
          </w:tcPr>
          <w:p>
            <w:pPr>
              <w:snapToGrid w:val="0"/>
              <w:spacing w:before="62" w:beforeLines="20" w:after="62" w:afterLines="20" w:line="240" w:lineRule="atLeast"/>
              <w:jc w:val="center"/>
              <w:rPr>
                <w:rFonts w:ascii="宋体" w:hAnsi="宋体"/>
              </w:rPr>
            </w:pPr>
            <w:r>
              <w:rPr>
                <w:rFonts w:ascii="宋体" w:hAnsi="宋体" w:cs="宋体"/>
                <w:kern w:val="0"/>
                <w:szCs w:val="21"/>
              </w:rPr>
              <w:t>碰撞试验</w:t>
            </w:r>
          </w:p>
        </w:tc>
        <w:tc>
          <w:tcPr>
            <w:tcW w:w="4082" w:type="dxa"/>
          </w:tcPr>
          <w:p>
            <w:pPr>
              <w:spacing w:before="62" w:beforeLines="20" w:after="62" w:afterLines="20" w:line="240" w:lineRule="atLeast"/>
              <w:jc w:val="center"/>
              <w:rPr>
                <w:rFonts w:ascii="宋体" w:hAnsi="宋体"/>
              </w:rPr>
            </w:pPr>
            <w:r>
              <w:rPr>
                <w:rFonts w:ascii="宋体" w:hAnsi="宋体" w:cs="宋体"/>
                <w:kern w:val="0"/>
                <w:szCs w:val="21"/>
              </w:rPr>
              <w:t>GB/T 26245-2010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cs="宋体"/>
                <w:kern w:val="0"/>
                <w:szCs w:val="21"/>
              </w:rPr>
              <w:t>8</w:t>
            </w:r>
          </w:p>
        </w:tc>
        <w:tc>
          <w:tcPr>
            <w:tcW w:w="4082" w:type="dxa"/>
            <w:vAlign w:val="center"/>
          </w:tcPr>
          <w:p>
            <w:pPr>
              <w:snapToGrid w:val="0"/>
              <w:spacing w:before="62" w:beforeLines="20" w:after="62" w:afterLines="20" w:line="240" w:lineRule="atLeast"/>
              <w:jc w:val="center"/>
            </w:pPr>
            <w:r>
              <w:rPr>
                <w:rFonts w:hint="eastAsia"/>
              </w:rPr>
              <w:t>1GHz以下辐射发射</w:t>
            </w:r>
          </w:p>
        </w:tc>
        <w:tc>
          <w:tcPr>
            <w:tcW w:w="4082" w:type="dxa"/>
          </w:tcPr>
          <w:p>
            <w:pPr>
              <w:spacing w:before="62" w:beforeLines="20" w:after="62" w:afterLines="20" w:line="240" w:lineRule="atLeast"/>
              <w:jc w:val="center"/>
              <w:rPr>
                <w:rFonts w:ascii="宋体" w:hAnsi="宋体"/>
                <w:szCs w:val="21"/>
              </w:rPr>
            </w:pPr>
            <w:r>
              <w:rPr>
                <w:rFonts w:ascii="宋体" w:hAnsi="宋体" w:cs="宋体"/>
                <w:kern w:val="0"/>
                <w:szCs w:val="21"/>
              </w:rPr>
              <w:t>GB/T 26245-2010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cs="宋体"/>
                <w:kern w:val="0"/>
                <w:szCs w:val="21"/>
              </w:rPr>
              <w:t>9</w:t>
            </w:r>
          </w:p>
        </w:tc>
        <w:tc>
          <w:tcPr>
            <w:tcW w:w="4082" w:type="dxa"/>
            <w:vAlign w:val="center"/>
          </w:tcPr>
          <w:p>
            <w:pPr>
              <w:snapToGrid w:val="0"/>
              <w:spacing w:before="62" w:beforeLines="20" w:after="62" w:afterLines="20" w:line="240" w:lineRule="atLeast"/>
              <w:jc w:val="center"/>
              <w:rPr>
                <w:rFonts w:ascii="宋体" w:hAnsi="宋体" w:cs="宋体"/>
                <w:color w:val="000000"/>
                <w:kern w:val="0"/>
                <w:szCs w:val="21"/>
                <w:lang w:bidi="ar"/>
              </w:rPr>
            </w:pPr>
            <w:r>
              <w:rPr>
                <w:rFonts w:hint="eastAsia" w:ascii="宋体" w:hAnsi="宋体" w:cs="宋体"/>
                <w:kern w:val="0"/>
                <w:szCs w:val="21"/>
              </w:rPr>
              <w:t>静电</w:t>
            </w:r>
            <w:r>
              <w:rPr>
                <w:rFonts w:ascii="宋体" w:hAnsi="宋体" w:cs="宋体"/>
                <w:kern w:val="0"/>
                <w:szCs w:val="21"/>
              </w:rPr>
              <w:t>放电</w:t>
            </w:r>
            <w:r>
              <w:rPr>
                <w:rFonts w:hint="eastAsia" w:ascii="宋体" w:hAnsi="宋体" w:cs="宋体"/>
                <w:kern w:val="0"/>
                <w:szCs w:val="21"/>
              </w:rPr>
              <w:t>抗扰度</w:t>
            </w:r>
          </w:p>
        </w:tc>
        <w:tc>
          <w:tcPr>
            <w:tcW w:w="4082" w:type="dxa"/>
          </w:tcPr>
          <w:p>
            <w:pPr>
              <w:spacing w:before="62" w:beforeLines="20" w:after="62" w:afterLines="20" w:line="240" w:lineRule="atLeast"/>
              <w:jc w:val="center"/>
              <w:rPr>
                <w:rFonts w:ascii="宋体" w:hAnsi="宋体"/>
                <w:szCs w:val="21"/>
              </w:rPr>
            </w:pPr>
            <w:r>
              <w:rPr>
                <w:rFonts w:ascii="宋体" w:hAnsi="宋体" w:cs="宋体"/>
                <w:kern w:val="0"/>
                <w:szCs w:val="21"/>
              </w:rPr>
              <w:t>GB/T 26245-2010</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pacing w:line="360" w:lineRule="auto"/>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360" w:lineRule="auto"/>
        <w:ind w:firstLine="420" w:firstLineChars="200"/>
        <w:rPr>
          <w:rFonts w:ascii="宋体" w:hAnsi="宋体"/>
          <w:color w:val="000000"/>
          <w:szCs w:val="21"/>
        </w:rPr>
      </w:pPr>
    </w:p>
    <w:p>
      <w:pPr>
        <w:spacing w:line="360" w:lineRule="auto"/>
        <w:rPr>
          <w:rFonts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spacing w:line="480" w:lineRule="exact"/>
        <w:ind w:firstLine="420" w:firstLineChars="200"/>
        <w:rPr>
          <w:rFonts w:ascii="宋体" w:hAnsi="宋体"/>
          <w:szCs w:val="21"/>
        </w:rPr>
      </w:pPr>
      <w:r>
        <w:rPr>
          <w:rFonts w:ascii="宋体" w:hAnsi="宋体"/>
          <w:color w:val="000000"/>
          <w:szCs w:val="21"/>
        </w:rPr>
        <w:t>GB/T 26245-2010</w:t>
      </w:r>
      <w:r>
        <w:rPr>
          <w:rFonts w:hint="eastAsia" w:ascii="宋体" w:hAnsi="宋体"/>
          <w:color w:val="000000"/>
          <w:szCs w:val="21"/>
        </w:rPr>
        <w:t xml:space="preserve">  计算机用鼠标器通用规范</w:t>
      </w:r>
    </w:p>
    <w:p>
      <w:pPr>
        <w:snapToGrid w:val="0"/>
        <w:spacing w:line="44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若被检产品明示的质量要求低于或包含本细则中检验项目依据的推荐性标准要求时，应以被检产品明示的质量要求判定。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若被检产品明示的质量要求缺少本细则中检验项目依据的推荐性标准要求时，该项目不参与判定。</w:t>
      </w:r>
    </w:p>
    <w:p>
      <w:pPr>
        <w:snapToGrid w:val="0"/>
        <w:spacing w:line="440" w:lineRule="exact"/>
        <w:ind w:firstLine="417" w:firstLineChars="199"/>
        <w:rPr>
          <w:rFonts w:ascii="宋体" w:hAnsi="宋体"/>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BFACC8-9452-4270-83D6-EB4B60A9B9E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01902B1-64FD-46BF-877C-52E8A1C2B72C}"/>
  </w:font>
  <w:font w:name="方正小标宋简体">
    <w:altName w:val="Malgun Gothic Semilight"/>
    <w:panose1 w:val="02000000000000000000"/>
    <w:charset w:val="86"/>
    <w:family w:val="auto"/>
    <w:pitch w:val="default"/>
    <w:sig w:usb0="00000000" w:usb1="00000000" w:usb2="00000012" w:usb3="00000000" w:csb0="00040001" w:csb1="00000000"/>
    <w:embedRegular r:id="rId3" w:fontKey="{44D1E994-ED70-45FF-A396-5CC33DB1F53F}"/>
  </w:font>
  <w:font w:name="仿宋">
    <w:panose1 w:val="02010609060101010101"/>
    <w:charset w:val="86"/>
    <w:family w:val="modern"/>
    <w:pitch w:val="default"/>
    <w:sig w:usb0="800002BF" w:usb1="38CF7CFA" w:usb2="00000016" w:usb3="00000000" w:csb0="00040001" w:csb1="00000000"/>
    <w:embedRegular r:id="rId4" w:fontKey="{95A88929-8A29-465D-BA33-2988698C8008}"/>
  </w:font>
  <w:font w:name="方正仿宋简体">
    <w:panose1 w:val="02000000000000000000"/>
    <w:charset w:val="86"/>
    <w:family w:val="auto"/>
    <w:pitch w:val="default"/>
    <w:sig w:usb0="A00002BF" w:usb1="184F6CFA" w:usb2="00000012" w:usb3="00000000" w:csb0="00040001" w:csb1="00000000"/>
    <w:embedRegular r:id="rId5" w:fontKey="{BC9A9F13-AE39-4F19-BA6E-50FAE732F949}"/>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32"/>
        <w:szCs w:val="32"/>
      </w:rPr>
    </w:lvl>
    <w:lvl w:ilvl="1" w:tentative="0">
      <w:start w:val="1"/>
      <w:numFmt w:val="decimal"/>
      <w:pStyle w:val="10"/>
      <w:suff w:val="nothing"/>
      <w:lvlText w:val="%1%2　"/>
      <w:lvlJc w:val="left"/>
      <w:pPr>
        <w:ind w:left="0" w:firstLine="0"/>
      </w:pPr>
      <w:rPr>
        <w:rFonts w:hint="eastAsia" w:ascii="黑体" w:hAnsi="Times New Roman" w:eastAsia="黑体"/>
        <w:b w:val="0"/>
        <w:i w:val="0"/>
        <w:sz w:val="21"/>
      </w:rPr>
    </w:lvl>
    <w:lvl w:ilvl="2" w:tentative="0">
      <w:start w:val="1"/>
      <w:numFmt w:val="decimal"/>
      <w:pStyle w:val="9"/>
      <w:suff w:val="nothing"/>
      <w:lvlText w:val="%1%2.%3　"/>
      <w:lvlJc w:val="left"/>
      <w:pPr>
        <w:ind w:left="420" w:firstLine="0"/>
      </w:pPr>
    </w:lvl>
    <w:lvl w:ilvl="3" w:tentative="0">
      <w:start w:val="1"/>
      <w:numFmt w:val="decimal"/>
      <w:lvlRestart w:val="1"/>
      <w:suff w:val="nothing"/>
      <w:lvlText w:val="%1%2.%3.%4　"/>
      <w:lvlJc w:val="left"/>
      <w:pPr>
        <w:ind w:left="0" w:firstLine="0"/>
      </w:pPr>
      <w:rPr>
        <w:rFonts w:hint="eastAsia" w:ascii="黑体" w:hAnsi="Times New Roman" w:eastAsia="黑体"/>
        <w:b w:val="0"/>
        <w:i w:val="0"/>
        <w:color w:val="auto"/>
        <w:sz w:val="21"/>
        <w:szCs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423C5385"/>
    <w:rsid w:val="000869B5"/>
    <w:rsid w:val="0030373C"/>
    <w:rsid w:val="00322D77"/>
    <w:rsid w:val="00644DC8"/>
    <w:rsid w:val="00733922"/>
    <w:rsid w:val="008717FB"/>
    <w:rsid w:val="008C2106"/>
    <w:rsid w:val="00980046"/>
    <w:rsid w:val="009C0A59"/>
    <w:rsid w:val="00E430E3"/>
    <w:rsid w:val="00E961AD"/>
    <w:rsid w:val="00F14CB6"/>
    <w:rsid w:val="00FB159B"/>
    <w:rsid w:val="01B555F8"/>
    <w:rsid w:val="22C07AC2"/>
    <w:rsid w:val="393A125D"/>
    <w:rsid w:val="423C5385"/>
    <w:rsid w:val="585C28D9"/>
    <w:rsid w:val="5A2F759F"/>
    <w:rsid w:val="713A7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0"/>
  </w:style>
  <w:style w:type="character" w:customStyle="1" w:styleId="7">
    <w:name w:val="font21"/>
    <w:qFormat/>
    <w:uiPriority w:val="0"/>
    <w:rPr>
      <w:rFonts w:hint="default" w:ascii="Times New Roman" w:hAnsi="Times New Roman" w:cs="Times New Roman"/>
      <w:color w:val="000000"/>
      <w:sz w:val="21"/>
      <w:szCs w:val="21"/>
      <w:u w:val="none"/>
    </w:rPr>
  </w:style>
  <w:style w:type="character" w:customStyle="1" w:styleId="8">
    <w:name w:val="font11"/>
    <w:qFormat/>
    <w:uiPriority w:val="0"/>
    <w:rPr>
      <w:rFonts w:hint="eastAsia" w:ascii="宋体" w:hAnsi="宋体" w:eastAsia="宋体" w:cs="宋体"/>
      <w:color w:val="000000"/>
      <w:sz w:val="21"/>
      <w:szCs w:val="21"/>
      <w:u w:val="none"/>
    </w:rPr>
  </w:style>
  <w:style w:type="paragraph" w:customStyle="1" w:styleId="9">
    <w:name w:val="一级条标题"/>
    <w:basedOn w:val="10"/>
    <w:next w:val="1"/>
    <w:qFormat/>
    <w:uiPriority w:val="0"/>
    <w:pPr>
      <w:numPr>
        <w:ilvl w:val="2"/>
      </w:numPr>
      <w:spacing w:before="0" w:beforeLines="0" w:after="0" w:afterLines="0"/>
      <w:outlineLvl w:val="2"/>
    </w:pPr>
  </w:style>
  <w:style w:type="paragraph" w:customStyle="1" w:styleId="10">
    <w:name w:val="章标题"/>
    <w:next w:val="1"/>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CMQ</Company>
  <Pages>2</Pages>
  <Words>131</Words>
  <Characters>748</Characters>
  <Lines>6</Lines>
  <Paragraphs>1</Paragraphs>
  <TotalTime>2</TotalTime>
  <ScaleCrop>false</ScaleCrop>
  <LinksUpToDate>false</LinksUpToDate>
  <CharactersWithSpaces>878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2023-03-01T02:38:00Z</dcterms:created>
  <dc:creator>pc</dc:creator>
  <cp:lastModifiedBy>王达达</cp:lastModifiedBy>
  <dcterms:modified xsi:type="dcterms:W3CDTF">2024-03-21T10:27:44Z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F9BA27A15A3B4DCEA6BEFE78A4FC2684</vt:lpwstr>
  </property>
</Properties>
</file>