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重庆市键盘产品质量监督抽查实施细则（2024年</w:t>
      </w:r>
      <w:bookmarkStart w:id="0" w:name="_GoBack"/>
      <w:bookmarkEnd w:id="0"/>
      <w:r>
        <w:rPr>
          <w:rFonts w:hint="eastAsia" w:ascii="方正小标宋简体" w:hAnsi="仿宋" w:eastAsia="方正小标宋简体" w:cs="方正仿宋简体"/>
          <w:color w:val="000000"/>
          <w:sz w:val="32"/>
          <w:szCs w:val="32"/>
        </w:rPr>
        <w:t>）</w:t>
      </w:r>
    </w:p>
    <w:p>
      <w:pPr>
        <w:snapToGrid w:val="0"/>
        <w:spacing w:line="440" w:lineRule="exact"/>
        <w:rPr>
          <w:rFonts w:eastAsia="方正小标宋简体"/>
          <w:szCs w:val="21"/>
        </w:rPr>
      </w:pPr>
    </w:p>
    <w:p>
      <w:pPr>
        <w:snapToGrid w:val="0"/>
        <w:spacing w:line="440" w:lineRule="exact"/>
        <w:rPr>
          <w:rFonts w:ascii="黑体" w:hAnsi="宋体" w:eastAsia="黑体"/>
          <w:szCs w:val="21"/>
        </w:rPr>
      </w:pPr>
      <w:r>
        <w:rPr>
          <w:rFonts w:hint="eastAsia" w:ascii="黑体" w:hAnsi="宋体" w:eastAsia="黑体"/>
          <w:szCs w:val="21"/>
        </w:rPr>
        <w:t>1 抽样方法</w:t>
      </w:r>
    </w:p>
    <w:p>
      <w:pPr>
        <w:snapToGrid w:val="0"/>
        <w:spacing w:line="440" w:lineRule="exact"/>
        <w:ind w:firstLine="420" w:firstLineChars="200"/>
        <w:rPr>
          <w:rFonts w:ascii="宋体" w:hAnsi="宋体"/>
          <w:szCs w:val="21"/>
        </w:rPr>
      </w:pPr>
      <w:r>
        <w:rPr>
          <w:rFonts w:hint="eastAsia" w:ascii="宋体" w:hAnsi="宋体"/>
          <w:szCs w:val="21"/>
        </w:rPr>
        <w:t>以随机抽样的方式在被抽样生产者、销售者的待销产品中抽取。</w:t>
      </w:r>
    </w:p>
    <w:p>
      <w:pPr>
        <w:snapToGrid w:val="0"/>
        <w:spacing w:line="440" w:lineRule="exact"/>
        <w:ind w:firstLine="420" w:firstLineChars="200"/>
        <w:rPr>
          <w:rFonts w:ascii="宋体" w:hAnsi="宋体"/>
          <w:szCs w:val="21"/>
        </w:rPr>
      </w:pPr>
      <w:r>
        <w:rPr>
          <w:rFonts w:hint="eastAsia" w:ascii="宋体" w:hAnsi="宋体"/>
          <w:szCs w:val="21"/>
        </w:rPr>
        <w:t>随机数一般可使用随机数表等方法产生。</w:t>
      </w:r>
    </w:p>
    <w:p>
      <w:pPr>
        <w:snapToGrid w:val="0"/>
        <w:spacing w:line="440" w:lineRule="exact"/>
        <w:ind w:firstLine="420" w:firstLineChars="200"/>
        <w:rPr>
          <w:rFonts w:ascii="宋体" w:hAnsi="宋体"/>
          <w:szCs w:val="21"/>
        </w:rPr>
      </w:pPr>
      <w:r>
        <w:rPr>
          <w:rFonts w:hint="eastAsia"/>
          <w:szCs w:val="21"/>
        </w:rPr>
        <w:t>每批次</w:t>
      </w:r>
      <w:r>
        <w:rPr>
          <w:rFonts w:hint="eastAsia" w:ascii="宋体" w:hAnsi="宋体"/>
          <w:szCs w:val="21"/>
        </w:rPr>
        <w:t xml:space="preserve">抽取样品2台，其中1台作为检验样品，1台作为备用样品。  </w:t>
      </w:r>
    </w:p>
    <w:p>
      <w:pPr>
        <w:snapToGrid w:val="0"/>
        <w:spacing w:line="440" w:lineRule="exact"/>
        <w:ind w:firstLine="420" w:firstLineChars="200"/>
        <w:rPr>
          <w:rFonts w:ascii="宋体" w:hAnsi="宋体"/>
          <w:szCs w:val="21"/>
        </w:rPr>
      </w:pPr>
    </w:p>
    <w:p>
      <w:pPr>
        <w:snapToGrid w:val="0"/>
        <w:spacing w:line="440" w:lineRule="exact"/>
        <w:rPr>
          <w:rFonts w:ascii="黑体" w:hAnsi="宋体" w:eastAsia="黑体"/>
          <w:szCs w:val="21"/>
        </w:rPr>
      </w:pPr>
      <w:r>
        <w:rPr>
          <w:rFonts w:hint="eastAsia" w:ascii="黑体" w:hAnsi="宋体" w:eastAsia="黑体"/>
          <w:szCs w:val="21"/>
        </w:rPr>
        <w:t>2 检验依据</w:t>
      </w:r>
    </w:p>
    <w:p>
      <w:pPr>
        <w:snapToGrid w:val="0"/>
        <w:spacing w:line="440" w:lineRule="exact"/>
        <w:rPr>
          <w:rFonts w:ascii="黑体" w:hAnsi="宋体" w:eastAsia="黑体"/>
          <w:szCs w:val="21"/>
        </w:rPr>
      </w:pPr>
      <w:r>
        <w:rPr>
          <w:rFonts w:hint="eastAsia" w:ascii="黑体" w:hAnsi="宋体" w:eastAsia="黑体"/>
          <w:szCs w:val="21"/>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4082"/>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Merge w:val="restart"/>
            <w:tcBorders>
              <w:top w:val="single" w:color="auto" w:sz="4" w:space="0"/>
              <w:left w:val="single" w:color="auto" w:sz="4" w:space="0"/>
              <w:right w:val="single" w:color="auto" w:sz="4" w:space="0"/>
            </w:tcBorders>
            <w:vAlign w:val="center"/>
          </w:tcPr>
          <w:p>
            <w:pPr>
              <w:snapToGrid w:val="0"/>
              <w:spacing w:before="62" w:beforeLines="20" w:after="62" w:afterLines="20" w:line="240" w:lineRule="atLeast"/>
              <w:jc w:val="center"/>
              <w:rPr>
                <w:rFonts w:ascii="宋体" w:hAnsi="宋体"/>
                <w:color w:val="000000"/>
                <w:szCs w:val="21"/>
              </w:rPr>
            </w:pPr>
            <w:r>
              <w:rPr>
                <w:rFonts w:hint="eastAsia" w:ascii="宋体" w:hAnsi="宋体"/>
                <w:color w:val="000000"/>
                <w:szCs w:val="21"/>
              </w:rPr>
              <w:t>序号</w:t>
            </w:r>
          </w:p>
        </w:tc>
        <w:tc>
          <w:tcPr>
            <w:tcW w:w="4082" w:type="dxa"/>
            <w:vMerge w:val="restart"/>
            <w:tcBorders>
              <w:left w:val="single" w:color="auto" w:sz="4" w:space="0"/>
            </w:tcBorders>
            <w:vAlign w:val="center"/>
          </w:tcPr>
          <w:p>
            <w:pPr>
              <w:snapToGrid w:val="0"/>
              <w:spacing w:before="62" w:beforeLines="20" w:after="62" w:afterLines="20" w:line="240" w:lineRule="atLeast"/>
              <w:jc w:val="center"/>
              <w:rPr>
                <w:rFonts w:ascii="宋体" w:hAnsi="宋体"/>
                <w:color w:val="000000"/>
                <w:szCs w:val="21"/>
              </w:rPr>
            </w:pPr>
            <w:r>
              <w:rPr>
                <w:rFonts w:hint="eastAsia" w:ascii="宋体" w:hAnsi="宋体"/>
                <w:color w:val="000000"/>
                <w:szCs w:val="21"/>
              </w:rPr>
              <w:t>检验项目</w:t>
            </w:r>
          </w:p>
        </w:tc>
        <w:tc>
          <w:tcPr>
            <w:tcW w:w="4082" w:type="dxa"/>
            <w:vMerge w:val="restart"/>
            <w:vAlign w:val="center"/>
          </w:tcPr>
          <w:p>
            <w:pPr>
              <w:snapToGrid w:val="0"/>
              <w:spacing w:before="62" w:beforeLines="20" w:after="62" w:afterLines="20" w:line="240" w:lineRule="atLeast"/>
              <w:jc w:val="center"/>
              <w:rPr>
                <w:rFonts w:ascii="宋体" w:hAns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 w:hRule="atLeast"/>
          <w:jc w:val="center"/>
        </w:trPr>
        <w:tc>
          <w:tcPr>
            <w:tcW w:w="831" w:type="dxa"/>
            <w:vMerge w:val="continue"/>
            <w:tcBorders>
              <w:left w:val="single" w:color="auto" w:sz="4" w:space="0"/>
              <w:bottom w:val="single" w:color="auto" w:sz="4" w:space="0"/>
              <w:right w:val="single" w:color="auto" w:sz="4" w:space="0"/>
            </w:tcBorders>
            <w:vAlign w:val="center"/>
          </w:tcPr>
          <w:p>
            <w:pPr>
              <w:spacing w:line="250" w:lineRule="exact"/>
              <w:jc w:val="center"/>
              <w:rPr>
                <w:rFonts w:ascii="宋体" w:hAnsi="宋体"/>
              </w:rPr>
            </w:pPr>
          </w:p>
        </w:tc>
        <w:tc>
          <w:tcPr>
            <w:tcW w:w="4082" w:type="dxa"/>
            <w:vMerge w:val="continue"/>
            <w:tcBorders>
              <w:left w:val="single" w:color="auto" w:sz="4" w:space="0"/>
            </w:tcBorders>
            <w:vAlign w:val="center"/>
          </w:tcPr>
          <w:p>
            <w:pPr>
              <w:spacing w:line="250" w:lineRule="exact"/>
              <w:jc w:val="center"/>
              <w:rPr>
                <w:rFonts w:ascii="宋体" w:hAnsi="宋体"/>
              </w:rPr>
            </w:pPr>
          </w:p>
        </w:tc>
        <w:tc>
          <w:tcPr>
            <w:tcW w:w="4082" w:type="dxa"/>
            <w:vMerge w:val="continue"/>
            <w:vAlign w:val="center"/>
          </w:tcPr>
          <w:p>
            <w:pPr>
              <w:spacing w:line="25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1</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olor w:val="000000"/>
                <w:szCs w:val="21"/>
              </w:rPr>
              <w:t>电源适应能力试验</w:t>
            </w:r>
          </w:p>
        </w:tc>
        <w:tc>
          <w:tcPr>
            <w:tcW w:w="4082" w:type="dxa"/>
            <w:vAlign w:val="center"/>
          </w:tcPr>
          <w:p>
            <w:pPr>
              <w:widowControl/>
              <w:spacing w:before="62" w:beforeLines="20" w:after="62" w:afterLines="20" w:line="240" w:lineRule="atLeast"/>
              <w:jc w:val="center"/>
              <w:rPr>
                <w:rFonts w:ascii="宋体" w:hAnsi="宋体"/>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2</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olor w:val="000000"/>
                <w:szCs w:val="21"/>
              </w:rPr>
              <w:t>工作温度下限试验</w:t>
            </w:r>
          </w:p>
        </w:tc>
        <w:tc>
          <w:tcPr>
            <w:tcW w:w="4082" w:type="dxa"/>
            <w:vAlign w:val="center"/>
          </w:tcPr>
          <w:p>
            <w:pPr>
              <w:widowControl/>
              <w:spacing w:before="62" w:beforeLines="20" w:after="62" w:afterLines="20" w:line="240" w:lineRule="atLeast"/>
              <w:jc w:val="center"/>
              <w:rPr>
                <w:rFonts w:ascii="宋体" w:hAnsi="宋体"/>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3</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olor w:val="000000"/>
                <w:szCs w:val="21"/>
              </w:rPr>
              <w:t>贮存温度下限试验</w:t>
            </w:r>
          </w:p>
        </w:tc>
        <w:tc>
          <w:tcPr>
            <w:tcW w:w="4082" w:type="dxa"/>
            <w:vAlign w:val="center"/>
          </w:tcPr>
          <w:p>
            <w:pPr>
              <w:widowControl/>
              <w:spacing w:before="62" w:beforeLines="20" w:after="62" w:afterLines="20" w:line="240" w:lineRule="atLeast"/>
              <w:jc w:val="center"/>
              <w:rPr>
                <w:rFonts w:ascii="宋体" w:hAnsi="宋体"/>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4</w:t>
            </w:r>
          </w:p>
        </w:tc>
        <w:tc>
          <w:tcPr>
            <w:tcW w:w="4082" w:type="dxa"/>
            <w:vAlign w:val="center"/>
          </w:tcPr>
          <w:p>
            <w:pPr>
              <w:snapToGrid w:val="0"/>
              <w:spacing w:before="62" w:beforeLines="20" w:after="62" w:afterLines="20" w:line="240" w:lineRule="atLeast"/>
              <w:jc w:val="center"/>
              <w:rPr>
                <w:rFonts w:ascii="宋体" w:hAnsi="宋体" w:cs="宋体"/>
                <w:kern w:val="0"/>
                <w:szCs w:val="21"/>
              </w:rPr>
            </w:pPr>
            <w:r>
              <w:rPr>
                <w:rFonts w:hint="eastAsia" w:ascii="宋体" w:hAnsi="宋体"/>
                <w:color w:val="000000"/>
                <w:szCs w:val="21"/>
              </w:rPr>
              <w:t>工作条件下恒定湿热试验</w:t>
            </w:r>
          </w:p>
        </w:tc>
        <w:tc>
          <w:tcPr>
            <w:tcW w:w="4082" w:type="dxa"/>
            <w:vAlign w:val="center"/>
          </w:tcPr>
          <w:p>
            <w:pPr>
              <w:widowControl/>
              <w:spacing w:before="62" w:beforeLines="20" w:after="62" w:afterLines="20" w:line="240" w:lineRule="atLeast"/>
              <w:jc w:val="center"/>
              <w:rPr>
                <w:rFonts w:ascii="宋体" w:hAnsi="宋体"/>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tcBorders>
              <w:top w:val="single" w:color="auto" w:sz="4" w:space="0"/>
            </w:tcBorders>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5</w:t>
            </w:r>
          </w:p>
        </w:tc>
        <w:tc>
          <w:tcPr>
            <w:tcW w:w="4082" w:type="dxa"/>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贮存条件下恒定湿热试验</w:t>
            </w:r>
          </w:p>
        </w:tc>
        <w:tc>
          <w:tcPr>
            <w:tcW w:w="4082" w:type="dxa"/>
            <w:vAlign w:val="center"/>
          </w:tcPr>
          <w:p>
            <w:pPr>
              <w:widowControl/>
              <w:spacing w:before="62" w:beforeLines="20" w:after="62" w:afterLines="20" w:line="240" w:lineRule="atLeast"/>
              <w:jc w:val="center"/>
              <w:rPr>
                <w:rFonts w:ascii="宋体" w:hAnsi="宋体"/>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6</w:t>
            </w:r>
          </w:p>
        </w:tc>
        <w:tc>
          <w:tcPr>
            <w:tcW w:w="4082" w:type="dxa"/>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冲击试验</w:t>
            </w:r>
          </w:p>
        </w:tc>
        <w:tc>
          <w:tcPr>
            <w:tcW w:w="4082" w:type="dxa"/>
            <w:vAlign w:val="center"/>
          </w:tcPr>
          <w:p>
            <w:pPr>
              <w:widowControl/>
              <w:spacing w:before="62" w:beforeLines="20" w:after="62" w:afterLines="20" w:line="240" w:lineRule="atLeast"/>
              <w:jc w:val="center"/>
              <w:rPr>
                <w:rFonts w:ascii="宋体" w:hAnsi="宋体"/>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7</w:t>
            </w:r>
          </w:p>
        </w:tc>
        <w:tc>
          <w:tcPr>
            <w:tcW w:w="4082" w:type="dxa"/>
            <w:vAlign w:val="center"/>
          </w:tcPr>
          <w:p>
            <w:pPr>
              <w:snapToGrid w:val="0"/>
              <w:spacing w:before="62" w:beforeLines="20" w:after="62" w:afterLines="20" w:line="240" w:lineRule="atLeast"/>
              <w:jc w:val="center"/>
              <w:rPr>
                <w:rFonts w:ascii="宋体" w:hAnsi="宋体"/>
              </w:rPr>
            </w:pPr>
            <w:r>
              <w:rPr>
                <w:rFonts w:ascii="宋体" w:hAnsi="宋体"/>
                <w:color w:val="000000"/>
                <w:szCs w:val="21"/>
              </w:rPr>
              <w:t>碰撞试验</w:t>
            </w:r>
          </w:p>
        </w:tc>
        <w:tc>
          <w:tcPr>
            <w:tcW w:w="4082" w:type="dxa"/>
            <w:vAlign w:val="center"/>
          </w:tcPr>
          <w:p>
            <w:pPr>
              <w:widowControl/>
              <w:spacing w:before="62" w:beforeLines="20" w:after="62" w:afterLines="20" w:line="240" w:lineRule="atLeast"/>
              <w:jc w:val="center"/>
              <w:rPr>
                <w:rFonts w:ascii="宋体" w:hAnsi="宋体"/>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8</w:t>
            </w:r>
          </w:p>
        </w:tc>
        <w:tc>
          <w:tcPr>
            <w:tcW w:w="4082" w:type="dxa"/>
            <w:vAlign w:val="center"/>
          </w:tcPr>
          <w:p>
            <w:pPr>
              <w:snapToGrid w:val="0"/>
              <w:spacing w:before="62" w:beforeLines="20" w:after="62" w:afterLines="20" w:line="240" w:lineRule="atLeast"/>
              <w:jc w:val="center"/>
              <w:rPr>
                <w:rFonts w:ascii="宋体" w:hAnsi="宋体"/>
                <w:color w:val="000000"/>
                <w:szCs w:val="21"/>
              </w:rPr>
            </w:pPr>
            <w:r>
              <w:rPr>
                <w:rFonts w:hint="eastAsia" w:ascii="宋体" w:hAnsi="宋体"/>
                <w:color w:val="000000"/>
                <w:szCs w:val="21"/>
              </w:rPr>
              <w:t>1GHz以下辐射发射</w:t>
            </w:r>
          </w:p>
        </w:tc>
        <w:tc>
          <w:tcPr>
            <w:tcW w:w="4082" w:type="dxa"/>
            <w:vAlign w:val="center"/>
          </w:tcPr>
          <w:p>
            <w:pPr>
              <w:widowControl/>
              <w:spacing w:before="62" w:beforeLines="20" w:after="62" w:afterLines="20" w:line="240" w:lineRule="atLeast"/>
              <w:jc w:val="center"/>
              <w:rPr>
                <w:rFonts w:ascii="宋体" w:hAnsi="宋体"/>
                <w:color w:val="000000"/>
                <w:szCs w:val="21"/>
              </w:rPr>
            </w:pPr>
            <w:r>
              <w:rPr>
                <w:rFonts w:hint="eastAsia" w:ascii="宋体" w:hAnsi="宋体"/>
                <w:color w:val="000000"/>
                <w:szCs w:val="21"/>
              </w:rPr>
              <w:t>GB/T 14081-2010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jc w:val="center"/>
        </w:trPr>
        <w:tc>
          <w:tcPr>
            <w:tcW w:w="831" w:type="dxa"/>
            <w:vAlign w:val="center"/>
          </w:tcPr>
          <w:p>
            <w:pPr>
              <w:snapToGrid w:val="0"/>
              <w:spacing w:before="62" w:beforeLines="20" w:after="62" w:afterLines="20" w:line="240" w:lineRule="atLeast"/>
              <w:jc w:val="center"/>
              <w:rPr>
                <w:rFonts w:ascii="宋体" w:hAnsi="宋体"/>
              </w:rPr>
            </w:pPr>
            <w:r>
              <w:rPr>
                <w:rFonts w:hint="eastAsia" w:ascii="宋体" w:hAnsi="宋体"/>
                <w:color w:val="000000"/>
                <w:szCs w:val="21"/>
              </w:rPr>
              <w:t>9</w:t>
            </w:r>
          </w:p>
        </w:tc>
        <w:tc>
          <w:tcPr>
            <w:tcW w:w="4082" w:type="dxa"/>
            <w:vAlign w:val="center"/>
          </w:tcPr>
          <w:p>
            <w:pPr>
              <w:snapToGrid w:val="0"/>
              <w:spacing w:before="62" w:beforeLines="20" w:after="62" w:afterLines="20" w:line="240" w:lineRule="atLeast"/>
              <w:jc w:val="center"/>
            </w:pPr>
            <w:r>
              <w:rPr>
                <w:rFonts w:hint="eastAsia" w:ascii="宋体" w:hAnsi="宋体"/>
                <w:color w:val="000000"/>
                <w:szCs w:val="21"/>
              </w:rPr>
              <w:t>静电</w:t>
            </w:r>
            <w:r>
              <w:rPr>
                <w:rFonts w:ascii="宋体" w:hAnsi="宋体"/>
                <w:color w:val="000000"/>
                <w:szCs w:val="21"/>
              </w:rPr>
              <w:t>放电</w:t>
            </w:r>
            <w:r>
              <w:rPr>
                <w:rFonts w:hint="eastAsia" w:ascii="宋体" w:hAnsi="宋体"/>
                <w:color w:val="000000"/>
                <w:szCs w:val="21"/>
              </w:rPr>
              <w:t>抗扰度</w:t>
            </w:r>
          </w:p>
        </w:tc>
        <w:tc>
          <w:tcPr>
            <w:tcW w:w="4082" w:type="dxa"/>
            <w:vAlign w:val="center"/>
          </w:tcPr>
          <w:p>
            <w:pPr>
              <w:widowControl/>
              <w:spacing w:before="62" w:beforeLines="20" w:after="62" w:afterLines="20" w:line="240" w:lineRule="atLeast"/>
              <w:jc w:val="center"/>
              <w:rPr>
                <w:rFonts w:ascii="宋体" w:hAnsi="宋体"/>
                <w:szCs w:val="21"/>
              </w:rPr>
            </w:pPr>
            <w:r>
              <w:rPr>
                <w:rFonts w:hint="eastAsia" w:ascii="宋体" w:hAnsi="宋体"/>
                <w:color w:val="000000"/>
                <w:szCs w:val="21"/>
              </w:rPr>
              <w:t>GB/T 14081-2010</w:t>
            </w:r>
          </w:p>
        </w:tc>
      </w:tr>
    </w:tbl>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pacing w:line="360" w:lineRule="auto"/>
        <w:ind w:firstLine="420" w:firstLineChars="200"/>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360" w:lineRule="auto"/>
        <w:ind w:firstLine="420" w:firstLineChars="200"/>
        <w:rPr>
          <w:rFonts w:ascii="宋体" w:hAnsi="宋体"/>
          <w:color w:val="000000"/>
          <w:szCs w:val="21"/>
        </w:rPr>
      </w:pPr>
    </w:p>
    <w:p>
      <w:pPr>
        <w:spacing w:line="360" w:lineRule="auto"/>
        <w:rPr>
          <w:rFonts w:ascii="黑体" w:hAnsi="黑体" w:eastAsia="黑体"/>
          <w:szCs w:val="21"/>
        </w:rPr>
      </w:pPr>
      <w:r>
        <w:rPr>
          <w:rFonts w:hint="eastAsia" w:ascii="黑体" w:hAnsi="黑体" w:eastAsia="黑体"/>
          <w:szCs w:val="21"/>
        </w:rPr>
        <w:t>3 判定规则</w:t>
      </w:r>
    </w:p>
    <w:p>
      <w:pPr>
        <w:snapToGrid w:val="0"/>
        <w:spacing w:line="440" w:lineRule="exact"/>
        <w:rPr>
          <w:rFonts w:ascii="宋体" w:hAnsi="宋体"/>
          <w:szCs w:val="21"/>
        </w:rPr>
      </w:pPr>
      <w:r>
        <w:rPr>
          <w:rFonts w:hint="eastAsia" w:ascii="宋体" w:hAnsi="宋体"/>
          <w:szCs w:val="21"/>
        </w:rPr>
        <w:t>3.1依据标准</w:t>
      </w:r>
    </w:p>
    <w:p>
      <w:pPr>
        <w:spacing w:line="480" w:lineRule="exact"/>
        <w:ind w:firstLine="420" w:firstLineChars="200"/>
        <w:rPr>
          <w:rFonts w:ascii="宋体" w:hAnsi="宋体"/>
          <w:color w:val="000000"/>
          <w:szCs w:val="21"/>
        </w:rPr>
      </w:pPr>
      <w:r>
        <w:rPr>
          <w:rFonts w:hint="eastAsia" w:ascii="宋体" w:hAnsi="宋体"/>
          <w:color w:val="000000"/>
          <w:szCs w:val="21"/>
        </w:rPr>
        <w:t>GB/T 14081-2010  信息处理用键盘通用规范</w:t>
      </w:r>
    </w:p>
    <w:p>
      <w:pPr>
        <w:snapToGrid w:val="0"/>
        <w:spacing w:line="440" w:lineRule="exact"/>
        <w:ind w:firstLine="420" w:firstLineChars="200"/>
        <w:rPr>
          <w:rFonts w:ascii="宋体" w:hAnsi="宋体"/>
          <w:szCs w:val="21"/>
        </w:rPr>
      </w:pPr>
      <w:r>
        <w:rPr>
          <w:rFonts w:hint="eastAsia" w:ascii="宋体" w:hAnsi="宋体"/>
          <w:szCs w:val="21"/>
        </w:rPr>
        <w:t>现行有效的企业标准、团体标准、地方标准及产品明示质量要求</w:t>
      </w:r>
    </w:p>
    <w:p>
      <w:pPr>
        <w:snapToGrid w:val="0"/>
        <w:spacing w:line="440" w:lineRule="exact"/>
        <w:rPr>
          <w:rFonts w:ascii="宋体" w:hAnsi="宋体"/>
          <w:szCs w:val="21"/>
        </w:rPr>
      </w:pPr>
      <w:r>
        <w:rPr>
          <w:rFonts w:hint="eastAsia" w:ascii="宋体" w:hAnsi="宋体"/>
          <w:szCs w:val="21"/>
        </w:rPr>
        <w:t>3.2判定原则</w:t>
      </w:r>
    </w:p>
    <w:p>
      <w:pPr>
        <w:snapToGrid w:val="0"/>
        <w:spacing w:line="440" w:lineRule="exact"/>
        <w:ind w:firstLine="420" w:firstLineChars="200"/>
        <w:rPr>
          <w:rFonts w:ascii="宋体" w:hAnsi="宋体"/>
          <w:szCs w:val="21"/>
        </w:rPr>
      </w:pPr>
      <w:r>
        <w:rPr>
          <w:rFonts w:hint="eastAsia" w:ascii="宋体" w:hAnsi="宋体"/>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若被检产品明示的质量要求低于或包含细则中检验项目依据的推荐性标准要求时，应以被检产品明示的质量要求判定。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szCs w:val="21"/>
        </w:rPr>
      </w:pPr>
      <w:r>
        <w:rPr>
          <w:rFonts w:hint="eastAsia" w:ascii="宋体" w:hAnsi="宋体"/>
          <w:szCs w:val="21"/>
        </w:rPr>
        <w:t>若被检产品明示的质量要求缺少本细则中检验项目依据的推荐性标准要求时，该项目不参与判定。</w:t>
      </w:r>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7299A14-7B34-400A-9D2A-92EF653C52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82ECBCA-5B83-4C26-96CB-B5CC6EB9B42A}"/>
  </w:font>
  <w:font w:name="方正小标宋简体">
    <w:altName w:val="微软雅黑"/>
    <w:panose1 w:val="02000000000000000000"/>
    <w:charset w:val="86"/>
    <w:family w:val="auto"/>
    <w:pitch w:val="default"/>
    <w:sig w:usb0="00000000" w:usb1="00000000" w:usb2="00000012" w:usb3="00000000" w:csb0="00040001" w:csb1="00000000"/>
    <w:embedRegular r:id="rId3" w:fontKey="{FD1B0358-ED1B-4723-A748-D70BDFB0DE7A}"/>
  </w:font>
  <w:font w:name="仿宋">
    <w:panose1 w:val="02010609060101010101"/>
    <w:charset w:val="86"/>
    <w:family w:val="modern"/>
    <w:pitch w:val="default"/>
    <w:sig w:usb0="800002BF" w:usb1="38CF7CFA" w:usb2="00000016" w:usb3="00000000" w:csb0="00040001" w:csb1="00000000"/>
    <w:embedRegular r:id="rId4" w:fontKey="{465EBAA3-A4E1-43CC-9154-128B45AD6896}"/>
  </w:font>
  <w:font w:name="方正仿宋简体">
    <w:panose1 w:val="02000000000000000000"/>
    <w:charset w:val="86"/>
    <w:family w:val="auto"/>
    <w:pitch w:val="default"/>
    <w:sig w:usb0="A00002BF" w:usb1="184F6CFA" w:usb2="00000012" w:usb3="00000000" w:csb0="00040001" w:csb1="00000000"/>
    <w:embedRegular r:id="rId5" w:fontKey="{D6F7B410-EAD5-4607-9F99-FA51AC0F15B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2</w:t>
    </w:r>
    <w: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32"/>
        <w:szCs w:val="32"/>
      </w:rPr>
    </w:lvl>
    <w:lvl w:ilvl="1" w:tentative="0">
      <w:start w:val="1"/>
      <w:numFmt w:val="decimal"/>
      <w:pStyle w:val="10"/>
      <w:suff w:val="nothing"/>
      <w:lvlText w:val="%1%2　"/>
      <w:lvlJc w:val="left"/>
      <w:pPr>
        <w:ind w:left="0" w:firstLine="0"/>
      </w:pPr>
      <w:rPr>
        <w:rFonts w:hint="eastAsia" w:ascii="黑体" w:hAnsi="Times New Roman" w:eastAsia="黑体"/>
        <w:b w:val="0"/>
        <w:i w:val="0"/>
        <w:sz w:val="21"/>
      </w:rPr>
    </w:lvl>
    <w:lvl w:ilvl="2" w:tentative="0">
      <w:start w:val="1"/>
      <w:numFmt w:val="decimal"/>
      <w:pStyle w:val="9"/>
      <w:suff w:val="nothing"/>
      <w:lvlText w:val="%1%2.%3　"/>
      <w:lvlJc w:val="left"/>
      <w:pPr>
        <w:ind w:left="420" w:firstLine="0"/>
      </w:pPr>
    </w:lvl>
    <w:lvl w:ilvl="3" w:tentative="0">
      <w:start w:val="1"/>
      <w:numFmt w:val="decimal"/>
      <w:lvlRestart w:val="1"/>
      <w:suff w:val="nothing"/>
      <w:lvlText w:val="%1%2.%3.%4　"/>
      <w:lvlJc w:val="left"/>
      <w:pPr>
        <w:ind w:left="0" w:firstLine="0"/>
      </w:pPr>
      <w:rPr>
        <w:rFonts w:hint="eastAsia" w:ascii="黑体" w:hAnsi="Times New Roman" w:eastAsia="黑体"/>
        <w:b w:val="0"/>
        <w:i w:val="0"/>
        <w:color w:val="auto"/>
        <w:sz w:val="21"/>
        <w:szCs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423C5385"/>
    <w:rsid w:val="0004036C"/>
    <w:rsid w:val="00071FEE"/>
    <w:rsid w:val="00185935"/>
    <w:rsid w:val="001A7D31"/>
    <w:rsid w:val="002B344D"/>
    <w:rsid w:val="002E17B7"/>
    <w:rsid w:val="00523EC3"/>
    <w:rsid w:val="00555E1E"/>
    <w:rsid w:val="00615DE7"/>
    <w:rsid w:val="00731A45"/>
    <w:rsid w:val="00761DB5"/>
    <w:rsid w:val="007725A3"/>
    <w:rsid w:val="00922930"/>
    <w:rsid w:val="00D01CA2"/>
    <w:rsid w:val="00D15E3D"/>
    <w:rsid w:val="00D300BD"/>
    <w:rsid w:val="00FF5DB0"/>
    <w:rsid w:val="01B555F8"/>
    <w:rsid w:val="22C07AC2"/>
    <w:rsid w:val="25E64835"/>
    <w:rsid w:val="2909696F"/>
    <w:rsid w:val="38F1039D"/>
    <w:rsid w:val="423C5385"/>
    <w:rsid w:val="53D24E8E"/>
    <w:rsid w:val="5C3A410C"/>
    <w:rsid w:val="63D149FE"/>
    <w:rsid w:val="66956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autoRedefine/>
    <w:qFormat/>
    <w:uiPriority w:val="0"/>
  </w:style>
  <w:style w:type="character" w:customStyle="1" w:styleId="7">
    <w:name w:val="font21"/>
    <w:autoRedefine/>
    <w:qFormat/>
    <w:uiPriority w:val="0"/>
    <w:rPr>
      <w:rFonts w:hint="default" w:ascii="Times New Roman" w:hAnsi="Times New Roman" w:cs="Times New Roman"/>
      <w:color w:val="000000"/>
      <w:sz w:val="21"/>
      <w:szCs w:val="21"/>
      <w:u w:val="none"/>
    </w:rPr>
  </w:style>
  <w:style w:type="character" w:customStyle="1" w:styleId="8">
    <w:name w:val="font11"/>
    <w:autoRedefine/>
    <w:qFormat/>
    <w:uiPriority w:val="0"/>
    <w:rPr>
      <w:rFonts w:hint="eastAsia" w:ascii="宋体" w:hAnsi="宋体" w:eastAsia="宋体" w:cs="宋体"/>
      <w:color w:val="000000"/>
      <w:sz w:val="21"/>
      <w:szCs w:val="21"/>
      <w:u w:val="none"/>
    </w:rPr>
  </w:style>
  <w:style w:type="paragraph" w:customStyle="1" w:styleId="9">
    <w:name w:val="一级条标题"/>
    <w:basedOn w:val="10"/>
    <w:next w:val="1"/>
    <w:autoRedefine/>
    <w:qFormat/>
    <w:uiPriority w:val="0"/>
    <w:pPr>
      <w:numPr>
        <w:ilvl w:val="2"/>
      </w:numPr>
      <w:spacing w:before="0" w:beforeLines="0" w:after="0" w:afterLines="0"/>
      <w:outlineLvl w:val="2"/>
    </w:pPr>
  </w:style>
  <w:style w:type="paragraph" w:customStyle="1" w:styleId="10">
    <w:name w:val="章标题"/>
    <w:next w:val="1"/>
    <w:autoRedefine/>
    <w:qFormat/>
    <w:uiPriority w:val="0"/>
    <w:pPr>
      <w:numPr>
        <w:ilvl w:val="1"/>
        <w:numId w:val="1"/>
      </w:numPr>
      <w:spacing w:before="50" w:beforeLines="50" w:after="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CMQ</Company>
  <Pages>2</Pages>
  <Words>131</Words>
  <Characters>748</Characters>
  <Lines>6</Lines>
  <Paragraphs>1</Paragraphs>
  <TotalTime>3</TotalTime>
  <ScaleCrop>false</ScaleCrop>
  <LinksUpToDate>false</LinksUpToDate>
  <CharactersWithSpaces>878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2023-03-01T02:38:00Z</dcterms:created>
  <dc:creator>pc</dc:creator>
  <cp:lastModifiedBy>王达达</cp:lastModifiedBy>
  <dcterms:modified xsi:type="dcterms:W3CDTF">2024-03-21T10:28:44Z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58AF838A47564AF99782BE11DDCE18D9</vt:lpwstr>
  </property>
</Properties>
</file>