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478" w:firstLineChars="171"/>
        <w:rPr>
          <w:rFonts w:ascii="宋体" w:hAnsi="宋体"/>
          <w:color w:val="000000"/>
          <w:sz w:val="20"/>
          <w:szCs w:val="21"/>
        </w:rPr>
      </w:pPr>
      <w:r>
        <w:rPr>
          <w:rFonts w:hint="eastAsia" w:ascii="方正小标宋_GBK" w:hAnsi="仿宋" w:eastAsia="方正小标宋_GBK" w:cs="方正仿宋简体"/>
          <w:sz w:val="28"/>
          <w:szCs w:val="32"/>
        </w:rPr>
        <w:t>重庆市仿真饰品产品质量监督抽查实施细则(202</w:t>
      </w:r>
      <w:r>
        <w:rPr>
          <w:rFonts w:hint="eastAsia" w:ascii="方正小标宋_GBK" w:hAnsi="仿宋" w:eastAsia="方正小标宋_GBK" w:cs="方正仿宋简体"/>
          <w:sz w:val="28"/>
          <w:szCs w:val="32"/>
          <w:lang w:val="en-US" w:eastAsia="zh-CN"/>
        </w:rPr>
        <w:t>4</w:t>
      </w:r>
      <w:bookmarkStart w:id="0" w:name="_GoBack"/>
      <w:bookmarkEnd w:id="0"/>
      <w:r>
        <w:rPr>
          <w:rFonts w:hint="eastAsia" w:ascii="方正小标宋_GBK" w:hAnsi="仿宋" w:eastAsia="方正小标宋_GBK" w:cs="方正仿宋简体"/>
          <w:sz w:val="28"/>
          <w:szCs w:val="32"/>
        </w:rPr>
        <w:t>年)</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17" w:firstLineChars="199"/>
        <w:rPr>
          <w:rFonts w:ascii="宋体" w:hAnsi="宋体"/>
          <w:szCs w:val="21"/>
        </w:rPr>
      </w:pPr>
      <w:r>
        <w:rPr>
          <w:rFonts w:hint="eastAsia" w:ascii="宋体" w:hAnsi="宋体"/>
          <w:color w:val="000000"/>
          <w:szCs w:val="21"/>
        </w:rPr>
        <w:t>每批次抽取样品4件。</w:t>
      </w:r>
      <w:r>
        <w:rPr>
          <w:rFonts w:hint="eastAsia" w:ascii="宋体" w:hAnsi="宋体"/>
          <w:szCs w:val="21"/>
        </w:rPr>
        <w:t>其中，2件作为检验样品，另2件作为备用样品。</w:t>
      </w:r>
    </w:p>
    <w:p>
      <w:pPr>
        <w:snapToGrid w:val="0"/>
        <w:spacing w:line="440" w:lineRule="exact"/>
        <w:ind w:firstLine="417" w:firstLineChars="199"/>
        <w:rPr>
          <w:rFonts w:ascii="宋体" w:hAnsi="宋体"/>
          <w:szCs w:val="21"/>
        </w:rPr>
      </w:pPr>
      <w:r>
        <w:rPr>
          <w:rFonts w:hint="eastAsia" w:ascii="宋体" w:hAnsi="宋体"/>
          <w:szCs w:val="21"/>
        </w:rPr>
        <w:t>若抽查样品（包括备用样品在内）的金属部件总重量不足8g时，需多抽取样品至金属部件总质量达到8g（检验样品与备用样品各占一半）。</w:t>
      </w: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pacing w:line="440" w:lineRule="exact"/>
        <w:jc w:val="center"/>
        <w:rPr>
          <w:rFonts w:ascii="宋体"/>
          <w:szCs w:val="21"/>
        </w:rPr>
      </w:pPr>
    </w:p>
    <w:tbl>
      <w:tblPr>
        <w:tblStyle w:val="6"/>
        <w:tblW w:w="829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2735"/>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55" w:type="dxa"/>
            <w:vMerge w:val="restart"/>
            <w:vAlign w:val="center"/>
          </w:tcPr>
          <w:p>
            <w:pPr>
              <w:snapToGrid w:val="0"/>
              <w:jc w:val="center"/>
              <w:rPr>
                <w:rFonts w:ascii="宋体"/>
                <w:color w:val="000000"/>
                <w:szCs w:val="21"/>
              </w:rPr>
            </w:pPr>
            <w:r>
              <w:rPr>
                <w:rFonts w:hint="eastAsia" w:ascii="宋体" w:hAnsi="宋体"/>
                <w:color w:val="000000"/>
                <w:szCs w:val="21"/>
              </w:rPr>
              <w:t>序号</w:t>
            </w:r>
          </w:p>
        </w:tc>
        <w:tc>
          <w:tcPr>
            <w:tcW w:w="2735" w:type="dxa"/>
            <w:vMerge w:val="restart"/>
            <w:vAlign w:val="center"/>
          </w:tcPr>
          <w:p>
            <w:pPr>
              <w:snapToGrid w:val="0"/>
              <w:jc w:val="center"/>
              <w:rPr>
                <w:rFonts w:ascii="宋体"/>
                <w:color w:val="000000"/>
                <w:szCs w:val="21"/>
              </w:rPr>
            </w:pPr>
            <w:r>
              <w:rPr>
                <w:rFonts w:hint="eastAsia" w:ascii="宋体" w:hAnsi="宋体"/>
                <w:color w:val="000000"/>
                <w:szCs w:val="21"/>
              </w:rPr>
              <w:t>检验项目</w:t>
            </w:r>
          </w:p>
        </w:tc>
        <w:tc>
          <w:tcPr>
            <w:tcW w:w="4600" w:type="dxa"/>
            <w:vMerge w:val="restart"/>
            <w:vAlign w:val="center"/>
          </w:tcPr>
          <w:p>
            <w:pPr>
              <w:snapToGrid w:val="0"/>
              <w:jc w:val="center"/>
              <w:rPr>
                <w:rFonts w:ascii="宋体"/>
                <w:color w:val="000000"/>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55" w:type="dxa"/>
            <w:vMerge w:val="continue"/>
          </w:tcPr>
          <w:p>
            <w:pPr>
              <w:snapToGrid w:val="0"/>
              <w:jc w:val="center"/>
              <w:rPr>
                <w:rFonts w:ascii="宋体"/>
                <w:color w:val="000000"/>
                <w:szCs w:val="21"/>
              </w:rPr>
            </w:pPr>
          </w:p>
        </w:tc>
        <w:tc>
          <w:tcPr>
            <w:tcW w:w="2735" w:type="dxa"/>
            <w:vMerge w:val="continue"/>
          </w:tcPr>
          <w:p>
            <w:pPr>
              <w:snapToGrid w:val="0"/>
              <w:jc w:val="center"/>
              <w:rPr>
                <w:rFonts w:ascii="宋体"/>
                <w:color w:val="000000"/>
                <w:szCs w:val="21"/>
              </w:rPr>
            </w:pPr>
          </w:p>
        </w:tc>
        <w:tc>
          <w:tcPr>
            <w:tcW w:w="4600" w:type="dxa"/>
            <w:vMerge w:val="continue"/>
          </w:tcPr>
          <w:p>
            <w:pPr>
              <w:snapToGrid w:val="0"/>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1</w:t>
            </w:r>
          </w:p>
        </w:tc>
        <w:tc>
          <w:tcPr>
            <w:tcW w:w="2735" w:type="dxa"/>
            <w:vAlign w:val="center"/>
          </w:tcPr>
          <w:p>
            <w:pPr>
              <w:snapToGrid w:val="0"/>
              <w:jc w:val="center"/>
              <w:rPr>
                <w:rFonts w:ascii="宋体"/>
                <w:color w:val="000000"/>
                <w:szCs w:val="21"/>
              </w:rPr>
            </w:pPr>
            <w:r>
              <w:rPr>
                <w:rFonts w:hint="eastAsia" w:ascii="宋体" w:hAnsi="宋体"/>
                <w:color w:val="000000"/>
                <w:szCs w:val="21"/>
              </w:rPr>
              <w:t>镍释放量</w:t>
            </w:r>
          </w:p>
        </w:tc>
        <w:tc>
          <w:tcPr>
            <w:tcW w:w="4600" w:type="dxa"/>
            <w:vAlign w:val="center"/>
          </w:tcPr>
          <w:p>
            <w:pPr>
              <w:snapToGrid w:val="0"/>
              <w:jc w:val="center"/>
              <w:rPr>
                <w:rFonts w:ascii="宋体"/>
                <w:color w:val="000000"/>
                <w:szCs w:val="21"/>
              </w:rPr>
            </w:pPr>
            <w:r>
              <w:rPr>
                <w:rFonts w:ascii="宋体" w:hAnsi="宋体"/>
                <w:color w:val="000000"/>
                <w:szCs w:val="21"/>
              </w:rPr>
              <w:t>GB/T 19719-2005</w:t>
            </w:r>
            <w:r>
              <w:rPr>
                <w:rFonts w:hint="eastAsia" w:ascii="宋体" w:hAnsi="宋体"/>
                <w:color w:val="000000"/>
                <w:szCs w:val="21"/>
              </w:rPr>
              <w:t>、</w:t>
            </w:r>
            <w:r>
              <w:rPr>
                <w:rFonts w:ascii="宋体" w:hAnsi="宋体"/>
                <w:color w:val="000000"/>
                <w:szCs w:val="21"/>
              </w:rPr>
              <w:t>GB/T 28485-2012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2</w:t>
            </w:r>
          </w:p>
        </w:tc>
        <w:tc>
          <w:tcPr>
            <w:tcW w:w="2735" w:type="dxa"/>
            <w:vAlign w:val="center"/>
          </w:tcPr>
          <w:p>
            <w:pPr>
              <w:snapToGrid w:val="0"/>
              <w:jc w:val="center"/>
              <w:rPr>
                <w:rFonts w:ascii="宋体"/>
                <w:color w:val="000000"/>
                <w:szCs w:val="21"/>
              </w:rPr>
            </w:pPr>
            <w:r>
              <w:rPr>
                <w:rFonts w:hint="eastAsia" w:ascii="宋体" w:hAnsi="宋体"/>
                <w:color w:val="000000"/>
                <w:szCs w:val="21"/>
              </w:rPr>
              <w:t>镉总含量</w:t>
            </w:r>
          </w:p>
        </w:tc>
        <w:tc>
          <w:tcPr>
            <w:tcW w:w="4600" w:type="dxa"/>
            <w:vAlign w:val="center"/>
          </w:tcPr>
          <w:p>
            <w:pPr>
              <w:snapToGrid w:val="0"/>
              <w:jc w:val="center"/>
              <w:rPr>
                <w:rFonts w:ascii="宋体"/>
                <w:color w:val="000000"/>
                <w:szCs w:val="21"/>
              </w:rPr>
            </w:pPr>
            <w:r>
              <w:rPr>
                <w:rFonts w:ascii="宋体" w:hAnsi="宋体"/>
                <w:color w:val="000000"/>
                <w:szCs w:val="21"/>
              </w:rPr>
              <w:t>GB/T 28021-2011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3</w:t>
            </w:r>
          </w:p>
        </w:tc>
        <w:tc>
          <w:tcPr>
            <w:tcW w:w="2735" w:type="dxa"/>
            <w:vAlign w:val="center"/>
          </w:tcPr>
          <w:p>
            <w:pPr>
              <w:snapToGrid w:val="0"/>
              <w:jc w:val="center"/>
              <w:rPr>
                <w:rFonts w:ascii="宋体"/>
                <w:color w:val="000000"/>
                <w:szCs w:val="21"/>
              </w:rPr>
            </w:pPr>
            <w:r>
              <w:rPr>
                <w:rFonts w:hint="eastAsia" w:ascii="宋体" w:hAnsi="宋体"/>
                <w:color w:val="000000"/>
                <w:szCs w:val="21"/>
              </w:rPr>
              <w:t>铅总含量</w:t>
            </w:r>
          </w:p>
        </w:tc>
        <w:tc>
          <w:tcPr>
            <w:tcW w:w="4600" w:type="dxa"/>
            <w:vAlign w:val="center"/>
          </w:tcPr>
          <w:p>
            <w:pPr>
              <w:snapToGrid w:val="0"/>
              <w:jc w:val="center"/>
              <w:rPr>
                <w:rFonts w:ascii="宋体"/>
                <w:color w:val="000000"/>
                <w:szCs w:val="21"/>
              </w:rPr>
            </w:pPr>
            <w:r>
              <w:rPr>
                <w:rFonts w:ascii="宋体" w:hAnsi="宋体"/>
                <w:color w:val="000000"/>
                <w:szCs w:val="21"/>
              </w:rPr>
              <w:t>GB/T 28021-2011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4</w:t>
            </w:r>
          </w:p>
        </w:tc>
        <w:tc>
          <w:tcPr>
            <w:tcW w:w="2735" w:type="dxa"/>
            <w:vAlign w:val="center"/>
          </w:tcPr>
          <w:p>
            <w:pPr>
              <w:snapToGrid w:val="0"/>
              <w:jc w:val="center"/>
              <w:rPr>
                <w:rFonts w:ascii="宋体"/>
                <w:color w:val="000000"/>
                <w:szCs w:val="21"/>
              </w:rPr>
            </w:pPr>
            <w:r>
              <w:rPr>
                <w:rFonts w:hint="eastAsia" w:ascii="宋体" w:hAnsi="宋体"/>
                <w:color w:val="000000"/>
                <w:szCs w:val="21"/>
              </w:rPr>
              <w:t>汞总含量</w:t>
            </w:r>
          </w:p>
        </w:tc>
        <w:tc>
          <w:tcPr>
            <w:tcW w:w="4600" w:type="dxa"/>
            <w:vAlign w:val="center"/>
          </w:tcPr>
          <w:p>
            <w:pPr>
              <w:snapToGrid w:val="0"/>
              <w:jc w:val="center"/>
              <w:rPr>
                <w:rFonts w:ascii="宋体"/>
                <w:color w:val="000000"/>
                <w:szCs w:val="21"/>
              </w:rPr>
            </w:pPr>
            <w:r>
              <w:rPr>
                <w:rFonts w:ascii="宋体" w:hAnsi="宋体"/>
                <w:color w:val="000000"/>
                <w:szCs w:val="21"/>
              </w:rPr>
              <w:t>GB/T 28021-2011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5</w:t>
            </w:r>
          </w:p>
        </w:tc>
        <w:tc>
          <w:tcPr>
            <w:tcW w:w="2735" w:type="dxa"/>
            <w:vAlign w:val="center"/>
          </w:tcPr>
          <w:p>
            <w:pPr>
              <w:snapToGrid w:val="0"/>
              <w:jc w:val="center"/>
              <w:rPr>
                <w:rFonts w:ascii="宋体"/>
                <w:color w:val="000000"/>
                <w:szCs w:val="21"/>
              </w:rPr>
            </w:pPr>
            <w:r>
              <w:rPr>
                <w:rFonts w:hint="eastAsia" w:ascii="宋体" w:hAnsi="宋体"/>
                <w:color w:val="000000"/>
                <w:szCs w:val="21"/>
              </w:rPr>
              <w:t>砷总含量</w:t>
            </w:r>
          </w:p>
        </w:tc>
        <w:tc>
          <w:tcPr>
            <w:tcW w:w="4600" w:type="dxa"/>
            <w:vAlign w:val="center"/>
          </w:tcPr>
          <w:p>
            <w:pPr>
              <w:snapToGrid w:val="0"/>
              <w:jc w:val="center"/>
              <w:rPr>
                <w:rFonts w:ascii="宋体"/>
                <w:color w:val="000000"/>
                <w:szCs w:val="21"/>
              </w:rPr>
            </w:pPr>
            <w:r>
              <w:rPr>
                <w:rFonts w:ascii="宋体" w:hAnsi="宋体"/>
                <w:color w:val="000000"/>
                <w:szCs w:val="21"/>
              </w:rPr>
              <w:t>GB/T 28021-2011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55" w:type="dxa"/>
            <w:vAlign w:val="center"/>
          </w:tcPr>
          <w:p>
            <w:pPr>
              <w:snapToGrid w:val="0"/>
              <w:jc w:val="center"/>
              <w:rPr>
                <w:rFonts w:ascii="宋体"/>
                <w:color w:val="000000"/>
                <w:szCs w:val="21"/>
              </w:rPr>
            </w:pPr>
            <w:r>
              <w:rPr>
                <w:rFonts w:ascii="宋体" w:hAnsi="宋体"/>
                <w:color w:val="000000"/>
                <w:szCs w:val="21"/>
              </w:rPr>
              <w:t>6</w:t>
            </w:r>
          </w:p>
        </w:tc>
        <w:tc>
          <w:tcPr>
            <w:tcW w:w="2735" w:type="dxa"/>
            <w:vAlign w:val="center"/>
          </w:tcPr>
          <w:p>
            <w:pPr>
              <w:snapToGrid w:val="0"/>
              <w:jc w:val="center"/>
              <w:rPr>
                <w:rFonts w:ascii="宋体"/>
                <w:color w:val="000000"/>
                <w:szCs w:val="21"/>
              </w:rPr>
            </w:pPr>
            <w:r>
              <w:rPr>
                <w:rFonts w:hint="eastAsia" w:ascii="宋体" w:hAnsi="宋体"/>
                <w:color w:val="000000"/>
                <w:szCs w:val="21"/>
              </w:rPr>
              <w:t>六价铬总含量</w:t>
            </w:r>
          </w:p>
        </w:tc>
        <w:tc>
          <w:tcPr>
            <w:tcW w:w="4600" w:type="dxa"/>
            <w:vAlign w:val="center"/>
          </w:tcPr>
          <w:p>
            <w:pPr>
              <w:snapToGrid w:val="0"/>
              <w:jc w:val="center"/>
              <w:rPr>
                <w:rFonts w:ascii="宋体"/>
                <w:color w:val="000000"/>
                <w:szCs w:val="21"/>
              </w:rPr>
            </w:pPr>
            <w:r>
              <w:rPr>
                <w:rFonts w:ascii="宋体" w:hAnsi="宋体"/>
                <w:color w:val="000000"/>
                <w:szCs w:val="21"/>
              </w:rPr>
              <w:t>GB/T 28019-2011</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 xml:space="preserve">GB 28480-2012 </w:t>
      </w:r>
      <w:r>
        <w:rPr>
          <w:rFonts w:hint="eastAsia" w:ascii="宋体" w:hAnsi="宋体"/>
          <w:color w:val="000000"/>
          <w:szCs w:val="21"/>
        </w:rPr>
        <w:t>饰品 有害元素限量的规定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3A87CC-E900-4F82-9D56-B6BFDB3E8D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BB0E8C7-E699-4565-BEDF-9D6D60386C09}"/>
  </w:font>
  <w:font w:name="方正小标宋_GBK">
    <w:panose1 w:val="02000000000000000000"/>
    <w:charset w:val="86"/>
    <w:family w:val="script"/>
    <w:pitch w:val="default"/>
    <w:sig w:usb0="A00002BF" w:usb1="38CF7CFA" w:usb2="00082016" w:usb3="00000000" w:csb0="00040001" w:csb1="00000000"/>
    <w:embedRegular r:id="rId3" w:fontKey="{671C2128-4AEA-4779-A093-235930D536C9}"/>
  </w:font>
  <w:font w:name="仿宋">
    <w:panose1 w:val="02010609060101010101"/>
    <w:charset w:val="86"/>
    <w:family w:val="modern"/>
    <w:pitch w:val="default"/>
    <w:sig w:usb0="800002BF" w:usb1="38CF7CFA" w:usb2="00000016" w:usb3="00000000" w:csb0="00040001" w:csb1="00000000"/>
    <w:embedRegular r:id="rId4" w:fontKey="{24255A62-B2E1-43B7-B2AD-8F3F7C0E05C5}"/>
  </w:font>
  <w:font w:name="方正仿宋简体">
    <w:panose1 w:val="02000000000000000000"/>
    <w:charset w:val="86"/>
    <w:family w:val="auto"/>
    <w:pitch w:val="default"/>
    <w:sig w:usb0="A00002BF" w:usb1="184F6CFA" w:usb2="00000012" w:usb3="00000000" w:csb0="00040001" w:csb1="00000000"/>
    <w:embedRegular r:id="rId5" w:fontKey="{6799CF26-E042-469F-825D-3A4568B9896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5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zODUwNTQ4ZjA4ZjcxY2I2YmJhZWJjNjEyOGE4NDYifQ=="/>
  </w:docVars>
  <w:rsids>
    <w:rsidRoot w:val="00AA15BD"/>
    <w:rsid w:val="00040FE6"/>
    <w:rsid w:val="00145B45"/>
    <w:rsid w:val="001F08ED"/>
    <w:rsid w:val="003044F8"/>
    <w:rsid w:val="00334814"/>
    <w:rsid w:val="004D7BB0"/>
    <w:rsid w:val="005839E5"/>
    <w:rsid w:val="005D6A0B"/>
    <w:rsid w:val="00663149"/>
    <w:rsid w:val="006C5A7F"/>
    <w:rsid w:val="008E41CA"/>
    <w:rsid w:val="00AA15BD"/>
    <w:rsid w:val="00B11626"/>
    <w:rsid w:val="00BE6903"/>
    <w:rsid w:val="00C36108"/>
    <w:rsid w:val="00C82A44"/>
    <w:rsid w:val="00CC4042"/>
    <w:rsid w:val="00D81921"/>
    <w:rsid w:val="00D8274D"/>
    <w:rsid w:val="00F00B51"/>
    <w:rsid w:val="00F51770"/>
    <w:rsid w:val="00FA5E0F"/>
    <w:rsid w:val="022733FA"/>
    <w:rsid w:val="15556D8B"/>
    <w:rsid w:val="20EC135F"/>
    <w:rsid w:val="22735D5B"/>
    <w:rsid w:val="3C307307"/>
    <w:rsid w:val="3E6C2117"/>
    <w:rsid w:val="47BA696C"/>
    <w:rsid w:val="6B326660"/>
    <w:rsid w:val="6B734BA3"/>
    <w:rsid w:val="7C012C59"/>
    <w:rsid w:val="7ECA4E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alloon Text"/>
    <w:basedOn w:val="1"/>
    <w:link w:val="9"/>
    <w:autoRedefine/>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autoRedefine/>
    <w:unhideWhenUsed/>
    <w:qFormat/>
    <w:uiPriority w:val="99"/>
    <w:rPr>
      <w:sz w:val="21"/>
      <w:szCs w:val="21"/>
    </w:rPr>
  </w:style>
  <w:style w:type="character" w:customStyle="1" w:styleId="9">
    <w:name w:val="批注框文本 Char"/>
    <w:basedOn w:val="7"/>
    <w:link w:val="3"/>
    <w:autoRedefine/>
    <w:qFormat/>
    <w:uiPriority w:val="0"/>
    <w:rPr>
      <w:rFonts w:ascii="Times New Roman" w:hAnsi="Times New Roman" w:eastAsia="宋体" w:cs="Times New Roman"/>
      <w:kern w:val="2"/>
      <w:sz w:val="18"/>
      <w:szCs w:val="18"/>
    </w:rPr>
  </w:style>
  <w:style w:type="character" w:customStyle="1" w:styleId="10">
    <w:name w:val="页眉 Char"/>
    <w:basedOn w:val="7"/>
    <w:link w:val="5"/>
    <w:autoRedefine/>
    <w:qFormat/>
    <w:uiPriority w:val="0"/>
    <w:rPr>
      <w:rFonts w:ascii="Times New Roman" w:hAnsi="Times New Roman" w:eastAsia="宋体" w:cs="Times New Roman"/>
      <w:kern w:val="2"/>
      <w:sz w:val="18"/>
      <w:szCs w:val="18"/>
    </w:rPr>
  </w:style>
  <w:style w:type="character" w:customStyle="1" w:styleId="11">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698</Words>
  <Characters>171</Characters>
  <Lines>1</Lines>
  <Paragraphs>1</Paragraphs>
  <TotalTime>104</TotalTime>
  <ScaleCrop>false</ScaleCrop>
  <LinksUpToDate>false</LinksUpToDate>
  <CharactersWithSpaces>868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2023-02-24T03:19:00Z</dcterms:created>
  <dc:creator>777</dc:creator>
  <cp:lastModifiedBy>绵。</cp:lastModifiedBy>
  <dcterms:modified xsi:type="dcterms:W3CDTF">2024-03-15T01:41:59Z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B5B0606C7758434184EA58E71442B1D1_13</vt:lpwstr>
  </property>
</Properties>
</file>