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方正小标宋简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w:t>
      </w:r>
      <w:r>
        <w:rPr>
          <w:rFonts w:hint="eastAsia" w:ascii="方正小标宋简体" w:hAnsi="宋体" w:eastAsia="方正小标宋简体" w:cs="方正仿宋简体"/>
          <w:color w:val="000000"/>
          <w:sz w:val="32"/>
          <w:szCs w:val="32"/>
          <w:lang w:val="en-US" w:eastAsia="zh-CN"/>
        </w:rPr>
        <w:t>荧光</w:t>
      </w:r>
      <w:r>
        <w:rPr>
          <w:rFonts w:hint="eastAsia" w:ascii="方正小标宋简体" w:hAnsi="宋体" w:eastAsia="方正小标宋简体" w:cs="方正仿宋简体"/>
          <w:color w:val="000000"/>
          <w:sz w:val="32"/>
          <w:szCs w:val="32"/>
          <w:lang w:eastAsia="zh-CN"/>
        </w:rPr>
        <w:t>笔</w:t>
      </w:r>
      <w:r>
        <w:rPr>
          <w:rFonts w:hint="eastAsia" w:ascii="方正小标宋简体" w:hAnsi="宋体" w:eastAsia="方正小标宋简体" w:cs="方正仿宋简体"/>
          <w:color w:val="000000"/>
          <w:sz w:val="32"/>
          <w:szCs w:val="32"/>
        </w:rPr>
        <w:t>产品</w:t>
      </w:r>
      <w:r>
        <w:rPr>
          <w:rFonts w:hint="eastAsia" w:ascii="方正小标宋简体" w:hAnsi="宋体" w:eastAsia="方正小标宋简体" w:cs="方正仿宋简体"/>
          <w:color w:val="000000"/>
          <w:sz w:val="32"/>
          <w:szCs w:val="32"/>
          <w:lang w:val="en-US" w:eastAsia="zh-CN"/>
        </w:rPr>
        <w:t>质量</w:t>
      </w:r>
      <w:r>
        <w:rPr>
          <w:rFonts w:hint="eastAsia" w:ascii="方正小标宋简体" w:hAnsi="宋体" w:eastAsia="方正小标宋简体" w:cs="方正仿宋简体"/>
          <w:color w:val="000000"/>
          <w:sz w:val="32"/>
          <w:szCs w:val="32"/>
        </w:rPr>
        <w:t>监督抽查实施细则（</w:t>
      </w:r>
      <w:r>
        <w:rPr>
          <w:rFonts w:ascii="方正小标宋简体" w:hAnsi="宋体" w:eastAsia="方正小标宋简体" w:cs="方正仿宋简体"/>
          <w:color w:val="000000"/>
          <w:sz w:val="32"/>
          <w:szCs w:val="32"/>
        </w:rPr>
        <w:t>202</w:t>
      </w:r>
      <w:r>
        <w:rPr>
          <w:rFonts w:hint="eastAsia" w:ascii="方正小标宋简体" w:hAnsi="宋体" w:eastAsia="方正小标宋简体" w:cs="方正仿宋简体"/>
          <w:color w:val="000000"/>
          <w:sz w:val="32"/>
          <w:szCs w:val="32"/>
          <w:lang w:val="en-US" w:eastAsia="zh-CN"/>
        </w:rPr>
        <w:t>4</w:t>
      </w:r>
      <w:r>
        <w:rPr>
          <w:rFonts w:hint="eastAsia" w:ascii="方正小标宋简体" w:hAnsi="宋体" w:eastAsia="方正小标宋简体" w:cs="方正仿宋简体"/>
          <w:color w:val="000000"/>
          <w:sz w:val="32"/>
          <w:szCs w:val="32"/>
        </w:rPr>
        <w:t>年</w:t>
      </w:r>
      <w:r>
        <w:rPr>
          <w:rFonts w:hint="eastAsia" w:ascii="方正小标宋简体" w:hAnsi="宋体" w:eastAsia="方正小标宋简体" w:cs="方正仿宋简体"/>
          <w:color w:val="000000"/>
          <w:sz w:val="32"/>
          <w:szCs w:val="32"/>
          <w:lang w:val="en-US" w:eastAsia="zh-CN"/>
        </w:rPr>
        <w:t>版</w:t>
      </w:r>
      <w:bookmarkStart w:id="0" w:name="_GoBack"/>
      <w:bookmarkEnd w:id="0"/>
      <w:r>
        <w:rPr>
          <w:rFonts w:hint="eastAsia" w:ascii="方正小标宋简体" w:hAnsi="宋体" w:eastAsia="方正小标宋简体" w:cs="方正仿宋简体"/>
          <w:color w:val="000000"/>
          <w:sz w:val="32"/>
          <w:szCs w:val="32"/>
        </w:rPr>
        <w:t>）</w:t>
      </w:r>
    </w:p>
    <w:p>
      <w:pPr>
        <w:snapToGrid w:val="0"/>
        <w:spacing w:line="440" w:lineRule="exact"/>
        <w:ind w:firstLine="359" w:firstLineChars="171"/>
        <w:rPr>
          <w:rFonts w:ascii="宋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szCs w:val="21"/>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取样品</w:t>
      </w:r>
      <w:r>
        <w:rPr>
          <w:rFonts w:hint="eastAsia" w:ascii="宋体" w:hAnsi="宋体"/>
          <w:szCs w:val="21"/>
          <w:lang w:val="en-US" w:eastAsia="zh-CN"/>
        </w:rPr>
        <w:t>22支</w:t>
      </w:r>
      <w:r>
        <w:rPr>
          <w:rFonts w:hint="eastAsia"/>
        </w:rPr>
        <w:t>，</w:t>
      </w:r>
      <w:r>
        <w:rPr>
          <w:rFonts w:hint="eastAsia"/>
          <w:lang w:eastAsia="zh-CN"/>
        </w:rPr>
        <w:t>其中</w:t>
      </w:r>
      <w:r>
        <w:rPr>
          <w:rFonts w:hint="eastAsia"/>
          <w:lang w:val="en-US" w:eastAsia="zh-CN"/>
        </w:rPr>
        <w:t>11支作为</w:t>
      </w:r>
      <w:r>
        <w:rPr>
          <w:rFonts w:hint="eastAsia"/>
          <w:lang w:eastAsia="zh-CN"/>
        </w:rPr>
        <w:t>检验样品</w:t>
      </w:r>
      <w:r>
        <w:rPr>
          <w:rFonts w:hint="eastAsia"/>
          <w:lang w:val="en-US" w:eastAsia="zh-CN"/>
        </w:rPr>
        <w:t>，11支作为备用样品</w:t>
      </w:r>
      <w:r>
        <w:t>。</w:t>
      </w:r>
    </w:p>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jc w:val="center"/>
        <w:rPr>
          <w:rFonts w:hint="eastAsia" w:ascii="宋体" w:hAnsi="宋体"/>
          <w:color w:val="000000"/>
          <w:szCs w:val="21"/>
        </w:rPr>
      </w:pPr>
    </w:p>
    <w:tbl>
      <w:tblPr>
        <w:tblStyle w:val="5"/>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500"/>
        <w:gridCol w:w="2355"/>
        <w:gridCol w:w="4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Align w:val="center"/>
          </w:tcPr>
          <w:p>
            <w:pPr>
              <w:snapToGrid w:val="0"/>
              <w:jc w:val="center"/>
              <w:rPr>
                <w:rFonts w:hint="eastAsia" w:ascii="宋体" w:eastAsia="宋体"/>
                <w:color w:val="000000"/>
                <w:szCs w:val="21"/>
                <w:lang w:eastAsia="zh-CN"/>
              </w:rPr>
            </w:pPr>
            <w:r>
              <w:rPr>
                <w:rFonts w:hint="eastAsia" w:ascii="宋体" w:hAnsi="宋体"/>
                <w:color w:val="000000"/>
                <w:szCs w:val="21"/>
                <w:lang w:val="en-US" w:eastAsia="zh-CN"/>
              </w:rPr>
              <w:t>序号</w:t>
            </w:r>
          </w:p>
        </w:tc>
        <w:tc>
          <w:tcPr>
            <w:tcW w:w="3855" w:type="dxa"/>
            <w:gridSpan w:val="2"/>
            <w:vAlign w:val="center"/>
          </w:tcPr>
          <w:p>
            <w:pPr>
              <w:snapToGrid w:val="0"/>
              <w:jc w:val="center"/>
              <w:rPr>
                <w:rFonts w:ascii="宋体"/>
                <w:color w:val="000000"/>
                <w:szCs w:val="21"/>
              </w:rPr>
            </w:pPr>
            <w:r>
              <w:rPr>
                <w:rFonts w:hint="eastAsia" w:ascii="宋体" w:hAnsi="宋体"/>
                <w:color w:val="000000"/>
                <w:szCs w:val="21"/>
              </w:rPr>
              <w:t>检验项目</w:t>
            </w:r>
          </w:p>
        </w:tc>
        <w:tc>
          <w:tcPr>
            <w:tcW w:w="4362"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Merge w:val="restart"/>
            <w:vAlign w:val="center"/>
          </w:tcPr>
          <w:p>
            <w:pPr>
              <w:keepNext w:val="0"/>
              <w:keepLines w:val="0"/>
              <w:pageBreakBefore w:val="0"/>
              <w:widowControl w:val="0"/>
              <w:kinsoku/>
              <w:wordWrap/>
              <w:overflowPunct/>
              <w:topLinePunct w:val="0"/>
              <w:autoSpaceDE/>
              <w:autoSpaceDN/>
              <w:bidi w:val="0"/>
              <w:adjustRightInd/>
              <w:snapToGrid w:val="0"/>
              <w:jc w:val="center"/>
              <w:rPr>
                <w:rFonts w:hint="default" w:ascii="宋体" w:eastAsia="宋体"/>
                <w:color w:val="000000"/>
                <w:szCs w:val="21"/>
                <w:lang w:val="en-US" w:eastAsia="zh-CN"/>
              </w:rPr>
            </w:pPr>
            <w:r>
              <w:rPr>
                <w:rFonts w:hint="eastAsia" w:ascii="宋体"/>
                <w:color w:val="000000"/>
                <w:szCs w:val="21"/>
                <w:lang w:val="en-US" w:eastAsia="zh-CN"/>
              </w:rPr>
              <w:t>1</w:t>
            </w:r>
          </w:p>
        </w:tc>
        <w:tc>
          <w:tcPr>
            <w:tcW w:w="1500" w:type="dxa"/>
            <w:vMerge w:val="restart"/>
            <w:vAlign w:val="center"/>
          </w:tcPr>
          <w:p>
            <w:pPr>
              <w:keepNext w:val="0"/>
              <w:keepLines w:val="0"/>
              <w:pageBreakBefore w:val="0"/>
              <w:widowControl w:val="0"/>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szCs w:val="21"/>
              </w:rPr>
              <w:t>可迁移元素</w:t>
            </w:r>
            <w:r>
              <w:rPr>
                <w:rFonts w:hint="eastAsia" w:ascii="宋体" w:hAnsi="宋体"/>
                <w:szCs w:val="21"/>
                <w:lang w:eastAsia="zh-CN"/>
              </w:rPr>
              <w:t>的</w:t>
            </w:r>
            <w:r>
              <w:rPr>
                <w:rFonts w:hint="eastAsia" w:ascii="宋体" w:hAnsi="宋体"/>
                <w:szCs w:val="21"/>
              </w:rPr>
              <w:t>限量</w:t>
            </w:r>
          </w:p>
          <w:p>
            <w:pPr>
              <w:keepNext w:val="0"/>
              <w:keepLines w:val="0"/>
              <w:pageBreakBefore w:val="0"/>
              <w:widowControl w:val="0"/>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2355"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铅</w:t>
            </w:r>
          </w:p>
        </w:tc>
        <w:tc>
          <w:tcPr>
            <w:tcW w:w="4362"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Merge w:val="continue"/>
            <w:vAlign w:val="center"/>
          </w:tcPr>
          <w:p>
            <w:pPr>
              <w:keepNext w:val="0"/>
              <w:keepLines w:val="0"/>
              <w:pageBreakBefore w:val="0"/>
              <w:widowControl/>
              <w:kinsoku/>
              <w:wordWrap/>
              <w:overflowPunct/>
              <w:topLinePunct w:val="0"/>
              <w:autoSpaceDE/>
              <w:autoSpaceDN/>
              <w:bidi w:val="0"/>
              <w:adjustRightInd/>
              <w:snapToGrid w:val="0"/>
              <w:jc w:val="center"/>
              <w:rPr>
                <w:rFonts w:hint="eastAsia" w:ascii="宋体" w:eastAsia="宋体"/>
                <w:color w:val="000000"/>
                <w:szCs w:val="21"/>
                <w:lang w:eastAsia="zh-CN"/>
              </w:rPr>
            </w:pPr>
          </w:p>
        </w:tc>
        <w:tc>
          <w:tcPr>
            <w:tcW w:w="1500"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2355"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镉</w:t>
            </w:r>
          </w:p>
        </w:tc>
        <w:tc>
          <w:tcPr>
            <w:tcW w:w="4362"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Merge w:val="continue"/>
            <w:vAlign w:val="center"/>
          </w:tcPr>
          <w:p>
            <w:pPr>
              <w:keepNext w:val="0"/>
              <w:keepLines w:val="0"/>
              <w:pageBreakBefore w:val="0"/>
              <w:widowControl/>
              <w:kinsoku/>
              <w:wordWrap/>
              <w:overflowPunct/>
              <w:topLinePunct w:val="0"/>
              <w:autoSpaceDE/>
              <w:autoSpaceDN/>
              <w:bidi w:val="0"/>
              <w:adjustRightInd/>
              <w:snapToGrid w:val="0"/>
              <w:jc w:val="center"/>
              <w:rPr>
                <w:rFonts w:hint="eastAsia" w:ascii="宋体" w:eastAsia="宋体"/>
                <w:color w:val="000000"/>
                <w:szCs w:val="21"/>
                <w:lang w:eastAsia="zh-CN"/>
              </w:rPr>
            </w:pPr>
          </w:p>
        </w:tc>
        <w:tc>
          <w:tcPr>
            <w:tcW w:w="1500"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2355"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汞</w:t>
            </w:r>
          </w:p>
        </w:tc>
        <w:tc>
          <w:tcPr>
            <w:tcW w:w="4362"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Merge w:val="continue"/>
            <w:vAlign w:val="center"/>
          </w:tcPr>
          <w:p>
            <w:pPr>
              <w:keepNext w:val="0"/>
              <w:keepLines w:val="0"/>
              <w:pageBreakBefore w:val="0"/>
              <w:widowControl/>
              <w:kinsoku/>
              <w:wordWrap/>
              <w:overflowPunct/>
              <w:topLinePunct w:val="0"/>
              <w:autoSpaceDE/>
              <w:autoSpaceDN/>
              <w:bidi w:val="0"/>
              <w:adjustRightInd/>
              <w:snapToGrid w:val="0"/>
              <w:jc w:val="center"/>
              <w:rPr>
                <w:rFonts w:hint="eastAsia" w:ascii="宋体" w:eastAsia="宋体"/>
                <w:color w:val="000000"/>
                <w:szCs w:val="21"/>
                <w:lang w:eastAsia="zh-CN"/>
              </w:rPr>
            </w:pPr>
          </w:p>
        </w:tc>
        <w:tc>
          <w:tcPr>
            <w:tcW w:w="1500"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2355"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铬</w:t>
            </w:r>
          </w:p>
        </w:tc>
        <w:tc>
          <w:tcPr>
            <w:tcW w:w="4362"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Merge w:val="continue"/>
            <w:vAlign w:val="center"/>
          </w:tcPr>
          <w:p>
            <w:pPr>
              <w:snapToGrid w:val="0"/>
              <w:jc w:val="center"/>
              <w:rPr>
                <w:rFonts w:hint="eastAsia" w:ascii="宋体" w:eastAsia="宋体"/>
                <w:color w:val="000000"/>
                <w:szCs w:val="21"/>
                <w:lang w:eastAsia="zh-CN"/>
              </w:rPr>
            </w:pPr>
          </w:p>
        </w:tc>
        <w:tc>
          <w:tcPr>
            <w:tcW w:w="1500" w:type="dxa"/>
            <w:vMerge w:val="continue"/>
            <w:vAlign w:val="center"/>
          </w:tcPr>
          <w:p>
            <w:pPr>
              <w:widowControl/>
              <w:jc w:val="center"/>
              <w:textAlignment w:val="center"/>
              <w:rPr>
                <w:rFonts w:hint="eastAsia" w:ascii="宋体" w:hAnsi="宋体" w:cs="方正仿宋_GBK"/>
                <w:kern w:val="0"/>
                <w:szCs w:val="21"/>
                <w:lang w:eastAsia="zh-CN"/>
              </w:rPr>
            </w:pPr>
          </w:p>
        </w:tc>
        <w:tc>
          <w:tcPr>
            <w:tcW w:w="2355"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硒</w:t>
            </w:r>
          </w:p>
        </w:tc>
        <w:tc>
          <w:tcPr>
            <w:tcW w:w="4362"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Merge w:val="continue"/>
            <w:vAlign w:val="center"/>
          </w:tcPr>
          <w:p>
            <w:pPr>
              <w:snapToGrid w:val="0"/>
              <w:jc w:val="center"/>
              <w:rPr>
                <w:rFonts w:hint="eastAsia" w:ascii="宋体" w:eastAsia="宋体"/>
                <w:color w:val="000000"/>
                <w:szCs w:val="21"/>
                <w:lang w:eastAsia="zh-CN"/>
              </w:rPr>
            </w:pPr>
          </w:p>
        </w:tc>
        <w:tc>
          <w:tcPr>
            <w:tcW w:w="1500" w:type="dxa"/>
            <w:vMerge w:val="continue"/>
            <w:vAlign w:val="center"/>
          </w:tcPr>
          <w:p>
            <w:pPr>
              <w:widowControl/>
              <w:jc w:val="center"/>
              <w:textAlignment w:val="center"/>
              <w:rPr>
                <w:rFonts w:hint="eastAsia" w:ascii="宋体" w:hAnsi="宋体" w:cs="方正仿宋_GBK"/>
                <w:kern w:val="0"/>
                <w:szCs w:val="21"/>
                <w:lang w:eastAsia="zh-CN"/>
              </w:rPr>
            </w:pPr>
          </w:p>
        </w:tc>
        <w:tc>
          <w:tcPr>
            <w:tcW w:w="2355"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砷</w:t>
            </w:r>
          </w:p>
        </w:tc>
        <w:tc>
          <w:tcPr>
            <w:tcW w:w="4362"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Merge w:val="continue"/>
            <w:vAlign w:val="center"/>
          </w:tcPr>
          <w:p>
            <w:pPr>
              <w:snapToGrid w:val="0"/>
              <w:jc w:val="center"/>
              <w:rPr>
                <w:rFonts w:hint="eastAsia" w:ascii="宋体" w:eastAsia="宋体"/>
                <w:color w:val="000000"/>
                <w:szCs w:val="21"/>
                <w:lang w:eastAsia="zh-CN"/>
              </w:rPr>
            </w:pPr>
          </w:p>
        </w:tc>
        <w:tc>
          <w:tcPr>
            <w:tcW w:w="1500" w:type="dxa"/>
            <w:vMerge w:val="continue"/>
            <w:vAlign w:val="center"/>
          </w:tcPr>
          <w:p>
            <w:pPr>
              <w:widowControl/>
              <w:jc w:val="center"/>
              <w:textAlignment w:val="center"/>
              <w:rPr>
                <w:rFonts w:hint="eastAsia" w:ascii="宋体" w:hAnsi="宋体" w:cs="方正仿宋_GBK"/>
                <w:kern w:val="0"/>
                <w:szCs w:val="21"/>
                <w:lang w:eastAsia="zh-CN"/>
              </w:rPr>
            </w:pPr>
          </w:p>
        </w:tc>
        <w:tc>
          <w:tcPr>
            <w:tcW w:w="2355"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钡</w:t>
            </w:r>
          </w:p>
        </w:tc>
        <w:tc>
          <w:tcPr>
            <w:tcW w:w="4362"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Merge w:val="continue"/>
            <w:vAlign w:val="center"/>
          </w:tcPr>
          <w:p>
            <w:pPr>
              <w:snapToGrid w:val="0"/>
              <w:jc w:val="center"/>
              <w:rPr>
                <w:rFonts w:hint="eastAsia" w:ascii="宋体" w:eastAsia="宋体"/>
                <w:color w:val="000000"/>
                <w:szCs w:val="21"/>
                <w:lang w:eastAsia="zh-CN"/>
              </w:rPr>
            </w:pPr>
          </w:p>
        </w:tc>
        <w:tc>
          <w:tcPr>
            <w:tcW w:w="1500" w:type="dxa"/>
            <w:vMerge w:val="continue"/>
            <w:vAlign w:val="center"/>
          </w:tcPr>
          <w:p>
            <w:pPr>
              <w:widowControl/>
              <w:jc w:val="center"/>
              <w:textAlignment w:val="center"/>
              <w:rPr>
                <w:rFonts w:hint="eastAsia" w:ascii="宋体" w:hAnsi="Times New Roman" w:eastAsia="宋体" w:cs="Times New Roman"/>
                <w:kern w:val="2"/>
                <w:sz w:val="21"/>
                <w:szCs w:val="21"/>
                <w:lang w:val="en-US" w:eastAsia="zh-CN" w:bidi="ar-SA"/>
              </w:rPr>
            </w:pPr>
          </w:p>
        </w:tc>
        <w:tc>
          <w:tcPr>
            <w:tcW w:w="2355"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锑</w:t>
            </w:r>
          </w:p>
        </w:tc>
        <w:tc>
          <w:tcPr>
            <w:tcW w:w="4362"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2</w:t>
            </w:r>
          </w:p>
        </w:tc>
        <w:tc>
          <w:tcPr>
            <w:tcW w:w="3855" w:type="dxa"/>
            <w:gridSpan w:val="2"/>
            <w:vAlign w:val="center"/>
          </w:tcPr>
          <w:p>
            <w:pPr>
              <w:widowControl/>
              <w:jc w:val="center"/>
              <w:textAlignment w:val="center"/>
              <w:rPr>
                <w:rFonts w:hint="eastAsia" w:ascii="宋体" w:hAnsi="宋体" w:eastAsia="宋体" w:cs="方正仿宋_GBK"/>
                <w:kern w:val="0"/>
                <w:sz w:val="21"/>
                <w:szCs w:val="21"/>
                <w:lang w:val="en-US" w:eastAsia="zh-CN" w:bidi="ar-SA"/>
              </w:rPr>
            </w:pPr>
            <w:r>
              <w:rPr>
                <w:rFonts w:hint="eastAsia" w:ascii="宋体" w:hAnsi="宋体" w:cs="方正仿宋_GBK"/>
                <w:kern w:val="0"/>
                <w:szCs w:val="21"/>
                <w:lang w:eastAsia="zh-CN"/>
              </w:rPr>
              <w:t>书写性能</w:t>
            </w:r>
          </w:p>
        </w:tc>
        <w:tc>
          <w:tcPr>
            <w:tcW w:w="4362" w:type="dxa"/>
            <w:vAlign w:val="center"/>
          </w:tcPr>
          <w:p>
            <w:pPr>
              <w:snapToGrid w:val="0"/>
              <w:jc w:val="center"/>
              <w:rPr>
                <w:rFonts w:hint="default"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QB/T 2778-2015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3</w:t>
            </w:r>
          </w:p>
        </w:tc>
        <w:tc>
          <w:tcPr>
            <w:tcW w:w="3855" w:type="dxa"/>
            <w:gridSpan w:val="2"/>
            <w:vAlign w:val="center"/>
          </w:tcPr>
          <w:p>
            <w:pPr>
              <w:widowControl/>
              <w:jc w:val="center"/>
              <w:textAlignment w:val="center"/>
              <w:rPr>
                <w:rFonts w:hint="eastAsia" w:ascii="宋体" w:hAnsi="宋体" w:eastAsia="宋体" w:cs="方正仿宋_GBK"/>
                <w:kern w:val="0"/>
                <w:sz w:val="21"/>
                <w:szCs w:val="21"/>
                <w:lang w:val="en-US" w:eastAsia="zh-CN" w:bidi="ar-SA"/>
              </w:rPr>
            </w:pPr>
            <w:r>
              <w:rPr>
                <w:rFonts w:hint="eastAsia" w:ascii="宋体" w:hAnsi="宋体" w:cs="方正仿宋_GBK"/>
                <w:kern w:val="0"/>
                <w:szCs w:val="21"/>
                <w:lang w:eastAsia="zh-CN"/>
              </w:rPr>
              <w:t>间歇书写</w:t>
            </w:r>
          </w:p>
        </w:tc>
        <w:tc>
          <w:tcPr>
            <w:tcW w:w="436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QB/T 2778-2015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4</w:t>
            </w:r>
          </w:p>
        </w:tc>
        <w:tc>
          <w:tcPr>
            <w:tcW w:w="3855" w:type="dxa"/>
            <w:gridSpan w:val="2"/>
            <w:vAlign w:val="center"/>
          </w:tcPr>
          <w:p>
            <w:pPr>
              <w:widowControl/>
              <w:jc w:val="center"/>
              <w:textAlignment w:val="center"/>
              <w:rPr>
                <w:rFonts w:hint="default" w:ascii="宋体" w:hAnsi="Times New Roman" w:eastAsia="宋体" w:cs="Times New Roman"/>
                <w:kern w:val="2"/>
                <w:sz w:val="21"/>
                <w:szCs w:val="21"/>
                <w:lang w:val="en-US" w:eastAsia="zh-CN" w:bidi="ar-SA"/>
              </w:rPr>
            </w:pPr>
            <w:r>
              <w:rPr>
                <w:rFonts w:hint="eastAsia" w:ascii="宋体" w:hAnsi="宋体" w:cs="方正仿宋_GBK"/>
                <w:kern w:val="0"/>
                <w:szCs w:val="21"/>
                <w:lang w:eastAsia="zh-CN"/>
              </w:rPr>
              <w:t>笔</w:t>
            </w:r>
            <w:r>
              <w:rPr>
                <w:rFonts w:hint="eastAsia" w:ascii="宋体" w:hAnsi="宋体" w:cs="方正仿宋_GBK"/>
                <w:kern w:val="0"/>
                <w:szCs w:val="21"/>
                <w:lang w:val="en-US" w:eastAsia="zh-CN"/>
              </w:rPr>
              <w:t>套</w:t>
            </w:r>
            <w:r>
              <w:rPr>
                <w:rFonts w:hint="eastAsia" w:ascii="宋体" w:hAnsi="宋体" w:cs="方正仿宋_GBK"/>
                <w:kern w:val="0"/>
                <w:szCs w:val="21"/>
                <w:lang w:eastAsia="zh-CN"/>
              </w:rPr>
              <w:t>安全</w:t>
            </w:r>
          </w:p>
        </w:tc>
        <w:tc>
          <w:tcPr>
            <w:tcW w:w="436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GB 21027-2020</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QB/T 2778-2015 荧光笔</w:t>
      </w:r>
    </w:p>
    <w:p>
      <w:pPr>
        <w:snapToGrid w:val="0"/>
        <w:spacing w:line="440" w:lineRule="exact"/>
        <w:ind w:firstLine="420" w:firstLineChars="200"/>
        <w:rPr>
          <w:rFonts w:hint="eastAsia"/>
          <w:szCs w:val="21"/>
        </w:rPr>
      </w:pPr>
      <w:r>
        <w:rPr>
          <w:rFonts w:ascii="宋体" w:hAnsi="宋体"/>
          <w:color w:val="000000"/>
          <w:szCs w:val="21"/>
        </w:rPr>
        <w:t>GB 21027-20</w:t>
      </w:r>
      <w:r>
        <w:rPr>
          <w:rFonts w:hint="eastAsia" w:ascii="宋体" w:hAnsi="宋体"/>
          <w:color w:val="000000"/>
          <w:szCs w:val="21"/>
          <w:lang w:val="en-US" w:eastAsia="zh-CN"/>
        </w:rPr>
        <w:t>20</w:t>
      </w:r>
      <w:r>
        <w:rPr>
          <w:rFonts w:ascii="宋体" w:hAnsi="宋体"/>
          <w:color w:val="000000"/>
          <w:szCs w:val="21"/>
        </w:rPr>
        <w:t xml:space="preserve"> </w:t>
      </w:r>
      <w:r>
        <w:rPr>
          <w:rFonts w:hint="eastAsia"/>
          <w:szCs w:val="21"/>
        </w:rPr>
        <w:t>学生用品的安全通用要求</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3.2.1单项判定</w:t>
      </w:r>
    </w:p>
    <w:p>
      <w:pPr>
        <w:snapToGrid w:val="0"/>
        <w:spacing w:line="44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可迁移元素项目中任意一种元素不符合标准要求时，判定该项不合格。</w:t>
      </w:r>
    </w:p>
    <w:p>
      <w:pPr>
        <w:snapToGrid w:val="0"/>
        <w:spacing w:line="440" w:lineRule="exact"/>
        <w:ind w:firstLine="420" w:firstLineChars="200"/>
        <w:rPr>
          <w:rFonts w:hint="eastAsia" w:ascii="宋体" w:hAnsi="宋体" w:cs="宋体"/>
          <w:sz w:val="21"/>
          <w:szCs w:val="21"/>
          <w:highlight w:val="none"/>
          <w:lang w:val="en-US" w:eastAsia="zh-CN"/>
        </w:rPr>
      </w:pPr>
      <w:r>
        <w:rPr>
          <w:rFonts w:hint="eastAsia" w:ascii="宋体" w:hAnsi="宋体" w:cs="宋体"/>
          <w:color w:val="auto"/>
          <w:sz w:val="21"/>
          <w:szCs w:val="21"/>
          <w:highlight w:val="none"/>
          <w:lang w:val="en-US" w:eastAsia="zh-CN"/>
        </w:rPr>
        <w:t>有颜色划分的，任意一种颜色产品可迁移元素项目出现不合格，判定该产品不合格。</w:t>
      </w:r>
    </w:p>
    <w:p>
      <w:pPr>
        <w:snapToGrid w:val="0"/>
        <w:spacing w:line="440" w:lineRule="exact"/>
        <w:rPr>
          <w:rFonts w:hint="eastAsia" w:ascii="宋体" w:hAnsi="宋体"/>
          <w:color w:val="000000"/>
          <w:szCs w:val="21"/>
          <w:highlight w:val="none"/>
        </w:rPr>
      </w:pPr>
      <w:r>
        <w:rPr>
          <w:rFonts w:hint="eastAsia" w:ascii="宋体" w:hAnsi="宋体"/>
          <w:color w:val="000000"/>
          <w:szCs w:val="21"/>
          <w:highlight w:val="none"/>
          <w:lang w:val="en-US" w:eastAsia="zh-CN"/>
        </w:rPr>
        <w:t>3.2.2综合判定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color w:val="00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86285A3-5E81-4331-992D-13A3AF6D8CD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3118279-64DF-45A4-9902-5C161F509E14}"/>
  </w:font>
  <w:font w:name="方正小标宋简体">
    <w:altName w:val="Arial Unicode MS"/>
    <w:panose1 w:val="02000000000000000000"/>
    <w:charset w:val="86"/>
    <w:family w:val="script"/>
    <w:pitch w:val="default"/>
    <w:sig w:usb0="00000000" w:usb1="00000000" w:usb2="00000012" w:usb3="00000000" w:csb0="00040001" w:csb1="00000000"/>
    <w:embedRegular r:id="rId3" w:fontKey="{477D0E25-2457-4812-BF6B-B617144567B7}"/>
  </w:font>
  <w:font w:name="方正仿宋简体">
    <w:panose1 w:val="02000000000000000000"/>
    <w:charset w:val="86"/>
    <w:family w:val="auto"/>
    <w:pitch w:val="default"/>
    <w:sig w:usb0="A00002BF" w:usb1="184F6CFA" w:usb2="00000012" w:usb3="00000000" w:csb0="00040001" w:csb1="00000000"/>
    <w:embedRegular r:id="rId4" w:fontKey="{B489B052-4CEA-4BE8-85C9-2F9A4FB576E6}"/>
  </w:font>
  <w:font w:name="方正仿宋_GBK">
    <w:panose1 w:val="02000000000000000000"/>
    <w:charset w:val="86"/>
    <w:family w:val="script"/>
    <w:pitch w:val="default"/>
    <w:sig w:usb0="A00002BF" w:usb1="38CF7CFA" w:usb2="00082016" w:usb3="00000000" w:csb0="00040001" w:csb1="00000000"/>
    <w:embedRegular r:id="rId5" w:fontKey="{A9072CE6-89FC-4E9C-BA7D-2FE3661135E4}"/>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4E1C1B"/>
    <w:rsid w:val="00017598"/>
    <w:rsid w:val="00070677"/>
    <w:rsid w:val="00071BFB"/>
    <w:rsid w:val="000816CA"/>
    <w:rsid w:val="000A6B06"/>
    <w:rsid w:val="000F47BD"/>
    <w:rsid w:val="00110089"/>
    <w:rsid w:val="00126693"/>
    <w:rsid w:val="00142815"/>
    <w:rsid w:val="002122B4"/>
    <w:rsid w:val="002651E6"/>
    <w:rsid w:val="0027234F"/>
    <w:rsid w:val="00272CA1"/>
    <w:rsid w:val="00276BA0"/>
    <w:rsid w:val="00277D59"/>
    <w:rsid w:val="00292F7F"/>
    <w:rsid w:val="002A21E1"/>
    <w:rsid w:val="002C4216"/>
    <w:rsid w:val="00302B95"/>
    <w:rsid w:val="00344EF9"/>
    <w:rsid w:val="00360E00"/>
    <w:rsid w:val="003808FF"/>
    <w:rsid w:val="00386676"/>
    <w:rsid w:val="003C51F6"/>
    <w:rsid w:val="003F4F40"/>
    <w:rsid w:val="004078C1"/>
    <w:rsid w:val="00444792"/>
    <w:rsid w:val="00473779"/>
    <w:rsid w:val="004A6040"/>
    <w:rsid w:val="004A6875"/>
    <w:rsid w:val="004B72EC"/>
    <w:rsid w:val="004C13EF"/>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A4E3C"/>
    <w:rsid w:val="008E6FAA"/>
    <w:rsid w:val="00916257"/>
    <w:rsid w:val="009354D0"/>
    <w:rsid w:val="009B04C1"/>
    <w:rsid w:val="009B783F"/>
    <w:rsid w:val="009E131F"/>
    <w:rsid w:val="009E628B"/>
    <w:rsid w:val="00A26D28"/>
    <w:rsid w:val="00A30649"/>
    <w:rsid w:val="00A409F0"/>
    <w:rsid w:val="00A775F3"/>
    <w:rsid w:val="00A871CD"/>
    <w:rsid w:val="00A87EB1"/>
    <w:rsid w:val="00A94967"/>
    <w:rsid w:val="00A957C3"/>
    <w:rsid w:val="00AB5EEF"/>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21673"/>
    <w:rsid w:val="00E371D6"/>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12320B0"/>
    <w:rsid w:val="0192730A"/>
    <w:rsid w:val="01D34174"/>
    <w:rsid w:val="03BA154F"/>
    <w:rsid w:val="08D72F81"/>
    <w:rsid w:val="09B0436D"/>
    <w:rsid w:val="0D6231F0"/>
    <w:rsid w:val="0F3C1010"/>
    <w:rsid w:val="10775E30"/>
    <w:rsid w:val="14A13E1A"/>
    <w:rsid w:val="16452AF1"/>
    <w:rsid w:val="19D551DF"/>
    <w:rsid w:val="1A455AB3"/>
    <w:rsid w:val="1DC36C51"/>
    <w:rsid w:val="21E300AB"/>
    <w:rsid w:val="223B0321"/>
    <w:rsid w:val="25022B2D"/>
    <w:rsid w:val="26945448"/>
    <w:rsid w:val="285D0697"/>
    <w:rsid w:val="2866761B"/>
    <w:rsid w:val="2D2D2E8B"/>
    <w:rsid w:val="2DC743F9"/>
    <w:rsid w:val="2E775E39"/>
    <w:rsid w:val="30181DF2"/>
    <w:rsid w:val="31940EFD"/>
    <w:rsid w:val="34635627"/>
    <w:rsid w:val="37202753"/>
    <w:rsid w:val="395D1036"/>
    <w:rsid w:val="3A5930D9"/>
    <w:rsid w:val="3F8F0A68"/>
    <w:rsid w:val="44282DAC"/>
    <w:rsid w:val="454E70AD"/>
    <w:rsid w:val="46925519"/>
    <w:rsid w:val="4C4C1FFD"/>
    <w:rsid w:val="4E216784"/>
    <w:rsid w:val="50624B47"/>
    <w:rsid w:val="50C6648E"/>
    <w:rsid w:val="513462F8"/>
    <w:rsid w:val="519658E0"/>
    <w:rsid w:val="5A0E5F06"/>
    <w:rsid w:val="5D280146"/>
    <w:rsid w:val="634540CF"/>
    <w:rsid w:val="63D74234"/>
    <w:rsid w:val="64156FE0"/>
    <w:rsid w:val="65A96E50"/>
    <w:rsid w:val="68AA4E85"/>
    <w:rsid w:val="6AE96484"/>
    <w:rsid w:val="6CCB6A6E"/>
    <w:rsid w:val="75FB5869"/>
    <w:rsid w:val="77B2501E"/>
    <w:rsid w:val="7FEA3C9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9"/>
    <w:semiHidden/>
    <w:qFormat/>
    <w:uiPriority w:val="99"/>
    <w:pPr>
      <w:shd w:val="clear" w:color="auto" w:fill="000080"/>
    </w:pPr>
  </w:style>
  <w:style w:type="paragraph" w:styleId="3">
    <w:name w:val="footer"/>
    <w:basedOn w:val="1"/>
    <w:link w:val="10"/>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6">
    <w:name w:val="Table Grid"/>
    <w:basedOn w:val="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page number"/>
    <w:qFormat/>
    <w:uiPriority w:val="99"/>
    <w:rPr>
      <w:rFonts w:cs="Times New Roman"/>
    </w:rPr>
  </w:style>
  <w:style w:type="character" w:customStyle="1" w:styleId="9">
    <w:name w:val="文档结构图 字符"/>
    <w:link w:val="2"/>
    <w:semiHidden/>
    <w:qFormat/>
    <w:locked/>
    <w:uiPriority w:val="99"/>
    <w:rPr>
      <w:rFonts w:ascii="Times New Roman" w:hAnsi="Times New Roman" w:cs="Times New Roman"/>
      <w:sz w:val="2"/>
    </w:rPr>
  </w:style>
  <w:style w:type="character" w:customStyle="1" w:styleId="10">
    <w:name w:val="页脚 字符"/>
    <w:link w:val="3"/>
    <w:qFormat/>
    <w:locked/>
    <w:uiPriority w:val="99"/>
    <w:rPr>
      <w:rFonts w:cs="Times New Roman"/>
      <w:sz w:val="18"/>
      <w:szCs w:val="18"/>
    </w:rPr>
  </w:style>
  <w:style w:type="character" w:customStyle="1" w:styleId="11">
    <w:name w:val="页眉 字符"/>
    <w:link w:val="4"/>
    <w:qFormat/>
    <w:locked/>
    <w:uiPriority w:val="99"/>
    <w:rPr>
      <w:rFonts w:cs="Times New Roman"/>
      <w:sz w:val="18"/>
      <w:szCs w:val="18"/>
    </w:rPr>
  </w:style>
  <w:style w:type="character" w:customStyle="1" w:styleId="12">
    <w:name w:val="页脚 Char1"/>
    <w:semiHidden/>
    <w:qFormat/>
    <w:locked/>
    <w:uiPriority w:val="99"/>
    <w:rPr>
      <w:rFonts w:ascii="Times New Roman" w:hAnsi="Times New Roman" w:eastAsia="宋体" w:cs="Times New Roman"/>
      <w:sz w:val="18"/>
      <w:szCs w:val="18"/>
    </w:rPr>
  </w:style>
  <w:style w:type="character" w:customStyle="1" w:styleId="13">
    <w:name w:val="页眉 Char1"/>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292</Words>
  <Characters>1671</Characters>
  <Lines>13</Lines>
  <Paragraphs>3</Paragraphs>
  <TotalTime>0</TotalTime>
  <ScaleCrop>false</ScaleCrop>
  <LinksUpToDate>false</LinksUpToDate>
  <CharactersWithSpaces>1960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2021-09-07T06:08:00Z</dcterms:created>
  <dc:creator>pc</dc:creator>
  <cp:lastModifiedBy>王达达</cp:lastModifiedBy>
  <dcterms:modified xsi:type="dcterms:W3CDTF">2024-01-08T07:01:22Z</dcterms:modified>
  <dc:title>重庆市修正液产品质量监督抽查实施细则</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AB10FB1512EF4AEC80BE9915F61D5755</vt:lpwstr>
  </property>
</Properties>
</file>