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ascii="方正小标宋简体" w:eastAsia="方正小标宋简体" w:cs="方正仿宋简体"/>
          <w:color w:val="000000"/>
          <w:sz w:val="32"/>
          <w:szCs w:val="32"/>
        </w:rPr>
      </w:pPr>
      <w:r>
        <w:rPr>
          <w:rFonts w:hint="eastAsia" w:ascii="方正小标宋简体" w:hAnsi="宋体" w:eastAsia="方正小标宋简体" w:cs="方正仿宋简体"/>
          <w:color w:val="000000"/>
          <w:sz w:val="32"/>
          <w:szCs w:val="32"/>
        </w:rPr>
        <w:t>重庆市</w:t>
      </w:r>
      <w:r>
        <w:rPr>
          <w:rFonts w:hint="eastAsia" w:ascii="方正小标宋简体" w:hAnsi="宋体" w:eastAsia="方正小标宋简体" w:cs="方正仿宋简体"/>
          <w:color w:val="000000"/>
          <w:sz w:val="32"/>
          <w:szCs w:val="32"/>
          <w:lang w:val="en-US" w:eastAsia="zh-CN"/>
        </w:rPr>
        <w:t>美术用品</w:t>
      </w:r>
      <w:r>
        <w:rPr>
          <w:rFonts w:hint="eastAsia" w:ascii="方正小标宋简体" w:hAnsi="宋体" w:eastAsia="方正小标宋简体" w:cs="方正仿宋简体"/>
          <w:color w:val="000000"/>
          <w:sz w:val="32"/>
          <w:szCs w:val="32"/>
        </w:rPr>
        <w:t>产品</w:t>
      </w:r>
      <w:r>
        <w:rPr>
          <w:rFonts w:hint="eastAsia" w:ascii="方正小标宋简体" w:hAnsi="宋体" w:eastAsia="方正小标宋简体" w:cs="方正仿宋简体"/>
          <w:color w:val="000000"/>
          <w:sz w:val="32"/>
          <w:szCs w:val="32"/>
          <w:lang w:val="en-US" w:eastAsia="zh-CN"/>
        </w:rPr>
        <w:t>质量</w:t>
      </w:r>
      <w:r>
        <w:rPr>
          <w:rFonts w:hint="eastAsia" w:ascii="方正小标宋简体" w:hAnsi="宋体" w:eastAsia="方正小标宋简体" w:cs="方正仿宋简体"/>
          <w:color w:val="000000"/>
          <w:sz w:val="32"/>
          <w:szCs w:val="32"/>
        </w:rPr>
        <w:t>监督抽查实施细则（</w:t>
      </w:r>
      <w:r>
        <w:rPr>
          <w:rFonts w:ascii="方正小标宋简体" w:hAnsi="宋体" w:eastAsia="方正小标宋简体" w:cs="方正仿宋简体"/>
          <w:color w:val="000000"/>
          <w:sz w:val="32"/>
          <w:szCs w:val="32"/>
        </w:rPr>
        <w:t>202</w:t>
      </w:r>
      <w:r>
        <w:rPr>
          <w:rFonts w:hint="eastAsia" w:ascii="方正小标宋简体" w:hAnsi="宋体" w:eastAsia="方正小标宋简体" w:cs="方正仿宋简体"/>
          <w:color w:val="000000"/>
          <w:sz w:val="32"/>
          <w:szCs w:val="32"/>
          <w:lang w:val="en-US" w:eastAsia="zh-CN"/>
        </w:rPr>
        <w:t>4</w:t>
      </w:r>
      <w:r>
        <w:rPr>
          <w:rFonts w:hint="eastAsia" w:ascii="方正小标宋简体" w:hAnsi="宋体" w:eastAsia="方正小标宋简体" w:cs="方正仿宋简体"/>
          <w:color w:val="000000"/>
          <w:sz w:val="32"/>
          <w:szCs w:val="32"/>
        </w:rPr>
        <w:t>年</w:t>
      </w:r>
      <w:r>
        <w:rPr>
          <w:rFonts w:hint="eastAsia" w:ascii="方正小标宋简体" w:hAnsi="宋体" w:eastAsia="方正小标宋简体" w:cs="方正仿宋简体"/>
          <w:color w:val="000000"/>
          <w:sz w:val="32"/>
          <w:szCs w:val="32"/>
          <w:lang w:val="en-US" w:eastAsia="zh-CN"/>
        </w:rPr>
        <w:t>版</w:t>
      </w:r>
      <w:bookmarkStart w:id="0" w:name="_GoBack"/>
      <w:bookmarkEnd w:id="0"/>
      <w:r>
        <w:rPr>
          <w:rFonts w:hint="eastAsia" w:ascii="方正小标宋简体" w:hAnsi="宋体" w:eastAsia="方正小标宋简体" w:cs="方正仿宋简体"/>
          <w:color w:val="000000"/>
          <w:sz w:val="32"/>
          <w:szCs w:val="32"/>
        </w:rPr>
        <w:t>）</w:t>
      </w:r>
    </w:p>
    <w:p>
      <w:pPr>
        <w:snapToGrid w:val="0"/>
        <w:spacing w:line="440" w:lineRule="exact"/>
        <w:ind w:firstLine="359" w:firstLineChars="171"/>
        <w:rPr>
          <w:rFonts w:ascii="宋体"/>
          <w:color w:val="000000"/>
          <w:szCs w:val="21"/>
        </w:rPr>
      </w:pPr>
    </w:p>
    <w:p>
      <w:pPr>
        <w:snapToGrid w:val="0"/>
        <w:spacing w:line="440" w:lineRule="exact"/>
        <w:rPr>
          <w:rFonts w:ascii="黑体" w:hAnsi="宋体" w:eastAsia="黑体"/>
          <w:color w:val="000000"/>
          <w:szCs w:val="21"/>
        </w:rPr>
      </w:pPr>
      <w:r>
        <w:rPr>
          <w:rFonts w:ascii="黑体" w:hAnsi="宋体" w:eastAsia="黑体"/>
          <w:color w:val="000000"/>
          <w:szCs w:val="21"/>
        </w:rPr>
        <w:t xml:space="preserve">1 </w:t>
      </w:r>
      <w:r>
        <w:rPr>
          <w:rFonts w:hint="eastAsia" w:ascii="黑体" w:hAnsi="宋体" w:eastAsia="黑体"/>
          <w:color w:val="000000"/>
          <w:szCs w:val="21"/>
        </w:rPr>
        <w:t>抽样方法</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随机数一般可使用随机数表等方法产生。</w:t>
      </w:r>
    </w:p>
    <w:p>
      <w:pPr>
        <w:snapToGrid w:val="0"/>
        <w:spacing w:line="440" w:lineRule="exact"/>
        <w:ind w:firstLine="420" w:firstLineChars="200"/>
        <w:rPr>
          <w:rFonts w:ascii="宋体"/>
          <w:szCs w:val="21"/>
        </w:rPr>
      </w:pPr>
      <w:r>
        <w:rPr>
          <w:rFonts w:hint="eastAsia" w:ascii="宋体" w:hAnsi="宋体"/>
          <w:color w:val="000000"/>
          <w:szCs w:val="21"/>
        </w:rPr>
        <w:t>每批次</w:t>
      </w:r>
      <w:r>
        <w:rPr>
          <w:rFonts w:hint="eastAsia" w:ascii="宋体" w:hAnsi="宋体"/>
          <w:color w:val="000000"/>
          <w:szCs w:val="21"/>
          <w:lang w:val="en-US" w:eastAsia="zh-CN"/>
        </w:rPr>
        <w:t>产品</w:t>
      </w:r>
      <w:r>
        <w:rPr>
          <w:rFonts w:hint="eastAsia" w:ascii="宋体" w:hAnsi="宋体"/>
          <w:color w:val="000000"/>
          <w:szCs w:val="21"/>
        </w:rPr>
        <w:t>抽</w:t>
      </w:r>
      <w:r>
        <w:rPr>
          <w:rFonts w:hint="eastAsia" w:ascii="宋体" w:hAnsi="宋体"/>
          <w:color w:val="000000"/>
          <w:szCs w:val="21"/>
          <w:lang w:val="en-US" w:eastAsia="zh-CN"/>
        </w:rPr>
        <w:t>取样品</w:t>
      </w:r>
      <w:r>
        <w:rPr>
          <w:rFonts w:hint="eastAsia" w:ascii="宋体" w:hAnsi="宋体"/>
          <w:szCs w:val="21"/>
          <w:lang w:val="en-US" w:eastAsia="zh-CN"/>
        </w:rPr>
        <w:t>2套（每套不少于12支）</w:t>
      </w:r>
      <w:r>
        <w:rPr>
          <w:rFonts w:hint="eastAsia"/>
        </w:rPr>
        <w:t>，</w:t>
      </w:r>
      <w:r>
        <w:rPr>
          <w:rFonts w:hint="eastAsia"/>
          <w:lang w:eastAsia="zh-CN"/>
        </w:rPr>
        <w:t>其中</w:t>
      </w:r>
      <w:r>
        <w:rPr>
          <w:rFonts w:hint="eastAsia"/>
          <w:lang w:val="en-US" w:eastAsia="zh-CN"/>
        </w:rPr>
        <w:t>1套作为</w:t>
      </w:r>
      <w:r>
        <w:rPr>
          <w:rFonts w:hint="eastAsia"/>
          <w:lang w:eastAsia="zh-CN"/>
        </w:rPr>
        <w:t>检验样品</w:t>
      </w:r>
      <w:r>
        <w:rPr>
          <w:rFonts w:hint="eastAsia"/>
          <w:lang w:val="en-US" w:eastAsia="zh-CN"/>
        </w:rPr>
        <w:t>，1套作为备用样品</w:t>
      </w:r>
      <w:r>
        <w:t>。</w:t>
      </w:r>
    </w:p>
    <w:p>
      <w:pPr>
        <w:snapToGrid w:val="0"/>
        <w:spacing w:line="440" w:lineRule="exact"/>
        <w:rPr>
          <w:rFonts w:ascii="黑体" w:hAnsi="宋体" w:eastAsia="黑体"/>
          <w:color w:val="000000"/>
          <w:szCs w:val="21"/>
        </w:rPr>
      </w:pPr>
    </w:p>
    <w:p>
      <w:pPr>
        <w:snapToGrid w:val="0"/>
        <w:spacing w:line="440" w:lineRule="exact"/>
        <w:rPr>
          <w:rFonts w:ascii="黑体" w:hAnsi="宋体" w:eastAsia="黑体"/>
          <w:color w:val="000000"/>
          <w:szCs w:val="21"/>
        </w:rPr>
      </w:pPr>
      <w:r>
        <w:rPr>
          <w:rFonts w:ascii="黑体" w:hAnsi="宋体" w:eastAsia="黑体"/>
          <w:color w:val="000000"/>
          <w:szCs w:val="21"/>
        </w:rPr>
        <w:t xml:space="preserve">2 </w:t>
      </w:r>
      <w:r>
        <w:rPr>
          <w:rFonts w:hint="eastAsia" w:ascii="黑体" w:hAnsi="宋体" w:eastAsia="黑体"/>
          <w:color w:val="000000"/>
          <w:szCs w:val="21"/>
        </w:rPr>
        <w:t>检验依据</w:t>
      </w:r>
    </w:p>
    <w:p>
      <w:pPr>
        <w:snapToGrid w:val="0"/>
        <w:spacing w:line="440" w:lineRule="exact"/>
        <w:jc w:val="center"/>
        <w:rPr>
          <w:rFonts w:hint="eastAsia" w:ascii="宋体" w:eastAsia="宋体"/>
          <w:color w:val="000000"/>
          <w:szCs w:val="21"/>
          <w:lang w:eastAsia="zh-CN"/>
        </w:rPr>
      </w:pPr>
      <w:r>
        <w:rPr>
          <w:rFonts w:hint="eastAsia" w:ascii="宋体" w:hAnsi="宋体"/>
          <w:color w:val="000000"/>
          <w:szCs w:val="21"/>
        </w:rPr>
        <w:t>表</w:t>
      </w:r>
      <w:r>
        <w:rPr>
          <w:rFonts w:ascii="宋体" w:hAnsi="宋体"/>
          <w:color w:val="000000"/>
          <w:szCs w:val="21"/>
        </w:rPr>
        <w:t xml:space="preserve">1 </w:t>
      </w:r>
      <w:r>
        <w:rPr>
          <w:rFonts w:hint="eastAsia" w:ascii="宋体" w:hAnsi="宋体"/>
          <w:color w:val="000000"/>
          <w:szCs w:val="21"/>
          <w:lang w:val="en-US" w:eastAsia="zh-CN"/>
        </w:rPr>
        <w:t>油画棒</w:t>
      </w:r>
    </w:p>
    <w:tbl>
      <w:tblPr>
        <w:tblStyle w:val="5"/>
        <w:tblW w:w="9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1"/>
        <w:gridCol w:w="1305"/>
        <w:gridCol w:w="2235"/>
        <w:gridCol w:w="42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61" w:type="dxa"/>
            <w:vAlign w:val="center"/>
          </w:tcPr>
          <w:p>
            <w:pPr>
              <w:keepNext w:val="0"/>
              <w:keepLines w:val="0"/>
              <w:pageBreakBefore w:val="0"/>
              <w:kinsoku/>
              <w:wordWrap/>
              <w:overflowPunct/>
              <w:topLinePunct w:val="0"/>
              <w:autoSpaceDE/>
              <w:autoSpaceDN/>
              <w:bidi w:val="0"/>
              <w:adjustRightInd/>
              <w:snapToGrid w:val="0"/>
              <w:jc w:val="center"/>
              <w:rPr>
                <w:rFonts w:hint="default" w:ascii="宋体" w:eastAsia="宋体"/>
                <w:color w:val="000000"/>
                <w:szCs w:val="21"/>
                <w:lang w:val="en-US" w:eastAsia="zh-CN"/>
              </w:rPr>
            </w:pPr>
            <w:r>
              <w:rPr>
                <w:rFonts w:hint="eastAsia" w:ascii="宋体"/>
                <w:color w:val="000000"/>
                <w:szCs w:val="21"/>
                <w:lang w:val="en-US" w:eastAsia="zh-CN"/>
              </w:rPr>
              <w:t>序号</w:t>
            </w:r>
          </w:p>
        </w:tc>
        <w:tc>
          <w:tcPr>
            <w:tcW w:w="3540" w:type="dxa"/>
            <w:gridSpan w:val="2"/>
            <w:vAlign w:val="center"/>
          </w:tcPr>
          <w:p>
            <w:pPr>
              <w:keepNext w:val="0"/>
              <w:keepLines w:val="0"/>
              <w:pageBreakBefore w:val="0"/>
              <w:kinsoku/>
              <w:wordWrap/>
              <w:overflowPunct/>
              <w:topLinePunct w:val="0"/>
              <w:autoSpaceDE/>
              <w:autoSpaceDN/>
              <w:bidi w:val="0"/>
              <w:adjustRightInd/>
              <w:snapToGrid w:val="0"/>
              <w:jc w:val="center"/>
              <w:rPr>
                <w:rFonts w:ascii="宋体"/>
                <w:color w:val="000000"/>
                <w:szCs w:val="21"/>
              </w:rPr>
            </w:pPr>
            <w:r>
              <w:rPr>
                <w:rFonts w:hint="eastAsia" w:ascii="宋体" w:hAnsi="宋体"/>
                <w:color w:val="000000"/>
                <w:szCs w:val="21"/>
              </w:rPr>
              <w:t>检验项目</w:t>
            </w:r>
          </w:p>
        </w:tc>
        <w:tc>
          <w:tcPr>
            <w:tcW w:w="4272" w:type="dxa"/>
            <w:vAlign w:val="center"/>
          </w:tcPr>
          <w:p>
            <w:pPr>
              <w:keepNext w:val="0"/>
              <w:keepLines w:val="0"/>
              <w:pageBreakBefore w:val="0"/>
              <w:kinsoku/>
              <w:wordWrap/>
              <w:overflowPunct/>
              <w:topLinePunct w:val="0"/>
              <w:autoSpaceDE/>
              <w:autoSpaceDN/>
              <w:bidi w:val="0"/>
              <w:adjustRightInd/>
              <w:snapToGrid w:val="0"/>
              <w:jc w:val="center"/>
              <w:rPr>
                <w:rFonts w:ascii="宋体"/>
                <w:color w:val="000000"/>
                <w:szCs w:val="21"/>
              </w:rPr>
            </w:pPr>
            <w:r>
              <w:rPr>
                <w:rFonts w:hint="eastAsia" w:ascii="宋体" w:hAnsi="宋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61" w:type="dxa"/>
            <w:vMerge w:val="restart"/>
            <w:vAlign w:val="center"/>
          </w:tcPr>
          <w:p>
            <w:pPr>
              <w:keepNext w:val="0"/>
              <w:keepLines w:val="0"/>
              <w:pageBreakBefore w:val="0"/>
              <w:kinsoku/>
              <w:wordWrap/>
              <w:overflowPunct/>
              <w:topLinePunct w:val="0"/>
              <w:autoSpaceDE/>
              <w:autoSpaceDN/>
              <w:bidi w:val="0"/>
              <w:adjustRightInd/>
              <w:snapToGrid w:val="0"/>
              <w:jc w:val="center"/>
              <w:rPr>
                <w:rFonts w:hint="default" w:ascii="宋体" w:eastAsia="宋体"/>
                <w:color w:val="000000"/>
                <w:szCs w:val="21"/>
                <w:lang w:val="en-US" w:eastAsia="zh-CN"/>
              </w:rPr>
            </w:pPr>
            <w:r>
              <w:rPr>
                <w:rFonts w:hint="eastAsia" w:ascii="宋体"/>
                <w:color w:val="000000"/>
                <w:szCs w:val="21"/>
                <w:lang w:val="en-US" w:eastAsia="zh-CN"/>
              </w:rPr>
              <w:t>1</w:t>
            </w:r>
          </w:p>
        </w:tc>
        <w:tc>
          <w:tcPr>
            <w:tcW w:w="1305" w:type="dxa"/>
            <w:vMerge w:val="restart"/>
            <w:vAlign w:val="center"/>
          </w:tcPr>
          <w:p>
            <w:pPr>
              <w:keepNext w:val="0"/>
              <w:keepLines w:val="0"/>
              <w:pageBreakBefore w:val="0"/>
              <w:widowControl/>
              <w:kinsoku/>
              <w:wordWrap/>
              <w:overflowPunct/>
              <w:topLinePunct w:val="0"/>
              <w:autoSpaceDE/>
              <w:autoSpaceDN/>
              <w:bidi w:val="0"/>
              <w:adjustRightInd/>
              <w:jc w:val="center"/>
              <w:textAlignment w:val="center"/>
              <w:rPr>
                <w:rFonts w:ascii="宋体"/>
                <w:szCs w:val="21"/>
              </w:rPr>
            </w:pPr>
            <w:r>
              <w:rPr>
                <w:rFonts w:hint="eastAsia" w:ascii="宋体" w:hAnsi="宋体"/>
                <w:szCs w:val="21"/>
              </w:rPr>
              <w:t>可迁移元素</w:t>
            </w:r>
            <w:r>
              <w:rPr>
                <w:rFonts w:hint="eastAsia" w:ascii="宋体" w:hAnsi="宋体"/>
                <w:szCs w:val="21"/>
                <w:lang w:eastAsia="zh-CN"/>
              </w:rPr>
              <w:t>的</w:t>
            </w:r>
            <w:r>
              <w:rPr>
                <w:rFonts w:hint="eastAsia" w:ascii="宋体" w:hAnsi="宋体"/>
                <w:szCs w:val="21"/>
              </w:rPr>
              <w:t>限量</w:t>
            </w:r>
          </w:p>
        </w:tc>
        <w:tc>
          <w:tcPr>
            <w:tcW w:w="2235" w:type="dxa"/>
            <w:vAlign w:val="center"/>
          </w:tcPr>
          <w:p>
            <w:pPr>
              <w:keepNext w:val="0"/>
              <w:keepLines w:val="0"/>
              <w:pageBreakBefore w:val="0"/>
              <w:widowControl/>
              <w:kinsoku/>
              <w:wordWrap/>
              <w:overflowPunct/>
              <w:topLinePunct w:val="0"/>
              <w:autoSpaceDE/>
              <w:autoSpaceDN/>
              <w:bidi w:val="0"/>
              <w:adjustRightInd/>
              <w:jc w:val="center"/>
              <w:textAlignment w:val="center"/>
              <w:rPr>
                <w:rFonts w:ascii="宋体"/>
                <w:szCs w:val="21"/>
              </w:rPr>
            </w:pPr>
            <w:r>
              <w:rPr>
                <w:rFonts w:hint="eastAsia" w:ascii="宋体" w:hAnsi="宋体" w:cs="方正仿宋_GBK"/>
                <w:kern w:val="0"/>
                <w:szCs w:val="21"/>
              </w:rPr>
              <w:t>铅</w:t>
            </w:r>
          </w:p>
        </w:tc>
        <w:tc>
          <w:tcPr>
            <w:tcW w:w="4272" w:type="dxa"/>
            <w:vAlign w:val="center"/>
          </w:tcPr>
          <w:p>
            <w:pPr>
              <w:keepNext w:val="0"/>
              <w:keepLines w:val="0"/>
              <w:pageBreakBefore w:val="0"/>
              <w:kinsoku/>
              <w:wordWrap/>
              <w:overflowPunct/>
              <w:topLinePunct w:val="0"/>
              <w:autoSpaceDE/>
              <w:autoSpaceDN/>
              <w:bidi w:val="0"/>
              <w:adjustRightInd/>
              <w:snapToGrid w:val="0"/>
              <w:jc w:val="center"/>
              <w:rPr>
                <w:rFonts w:hint="default" w:ascii="宋体" w:hAnsi="宋体" w:eastAsia="宋体"/>
                <w:color w:val="000000"/>
                <w:szCs w:val="21"/>
                <w:lang w:val="en-US" w:eastAsia="zh-CN"/>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61" w:type="dxa"/>
            <w:vMerge w:val="continue"/>
            <w:vAlign w:val="center"/>
          </w:tcPr>
          <w:p>
            <w:pPr>
              <w:keepNext w:val="0"/>
              <w:keepLines w:val="0"/>
              <w:pageBreakBefore w:val="0"/>
              <w:kinsoku/>
              <w:wordWrap/>
              <w:overflowPunct/>
              <w:topLinePunct w:val="0"/>
              <w:autoSpaceDE/>
              <w:autoSpaceDN/>
              <w:bidi w:val="0"/>
              <w:adjustRightInd/>
              <w:snapToGrid w:val="0"/>
              <w:jc w:val="center"/>
              <w:rPr>
                <w:rFonts w:ascii="宋体"/>
                <w:color w:val="000000"/>
                <w:szCs w:val="21"/>
              </w:rPr>
            </w:pPr>
          </w:p>
        </w:tc>
        <w:tc>
          <w:tcPr>
            <w:tcW w:w="1305" w:type="dxa"/>
            <w:vMerge w:val="continue"/>
            <w:vAlign w:val="center"/>
          </w:tcPr>
          <w:p>
            <w:pPr>
              <w:keepNext w:val="0"/>
              <w:keepLines w:val="0"/>
              <w:pageBreakBefore w:val="0"/>
              <w:widowControl/>
              <w:kinsoku/>
              <w:wordWrap/>
              <w:overflowPunct/>
              <w:topLinePunct w:val="0"/>
              <w:autoSpaceDE/>
              <w:autoSpaceDN/>
              <w:bidi w:val="0"/>
              <w:adjustRightInd/>
              <w:jc w:val="center"/>
              <w:textAlignment w:val="center"/>
              <w:rPr>
                <w:rFonts w:ascii="宋体"/>
                <w:szCs w:val="21"/>
              </w:rPr>
            </w:pPr>
          </w:p>
        </w:tc>
        <w:tc>
          <w:tcPr>
            <w:tcW w:w="2235" w:type="dxa"/>
            <w:vAlign w:val="center"/>
          </w:tcPr>
          <w:p>
            <w:pPr>
              <w:keepNext w:val="0"/>
              <w:keepLines w:val="0"/>
              <w:pageBreakBefore w:val="0"/>
              <w:widowControl/>
              <w:kinsoku/>
              <w:wordWrap/>
              <w:overflowPunct/>
              <w:topLinePunct w:val="0"/>
              <w:autoSpaceDE/>
              <w:autoSpaceDN/>
              <w:bidi w:val="0"/>
              <w:adjustRightInd/>
              <w:jc w:val="center"/>
              <w:textAlignment w:val="center"/>
              <w:rPr>
                <w:rFonts w:ascii="宋体"/>
                <w:szCs w:val="21"/>
              </w:rPr>
            </w:pPr>
            <w:r>
              <w:rPr>
                <w:rFonts w:hint="eastAsia" w:ascii="宋体" w:hAnsi="宋体" w:cs="方正仿宋_GBK"/>
                <w:kern w:val="0"/>
                <w:szCs w:val="21"/>
              </w:rPr>
              <w:t>镉</w:t>
            </w:r>
          </w:p>
        </w:tc>
        <w:tc>
          <w:tcPr>
            <w:tcW w:w="4272" w:type="dxa"/>
            <w:vAlign w:val="center"/>
          </w:tcPr>
          <w:p>
            <w:pPr>
              <w:keepNext w:val="0"/>
              <w:keepLines w:val="0"/>
              <w:pageBreakBefore w:val="0"/>
              <w:kinsoku/>
              <w:wordWrap/>
              <w:overflowPunct/>
              <w:topLinePunct w:val="0"/>
              <w:autoSpaceDE/>
              <w:autoSpaceDN/>
              <w:bidi w:val="0"/>
              <w:adjustRightInd/>
              <w:snapToGrid w:val="0"/>
              <w:jc w:val="center"/>
              <w:rPr>
                <w:rFonts w:ascii="宋体"/>
                <w:color w:val="000000"/>
                <w:szCs w:val="21"/>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61" w:type="dxa"/>
            <w:vMerge w:val="continue"/>
            <w:vAlign w:val="center"/>
          </w:tcPr>
          <w:p>
            <w:pPr>
              <w:keepNext w:val="0"/>
              <w:keepLines w:val="0"/>
              <w:pageBreakBefore w:val="0"/>
              <w:kinsoku/>
              <w:wordWrap/>
              <w:overflowPunct/>
              <w:topLinePunct w:val="0"/>
              <w:autoSpaceDE/>
              <w:autoSpaceDN/>
              <w:bidi w:val="0"/>
              <w:adjustRightInd/>
              <w:snapToGrid w:val="0"/>
              <w:jc w:val="center"/>
              <w:rPr>
                <w:rFonts w:ascii="宋体"/>
                <w:color w:val="000000"/>
                <w:szCs w:val="21"/>
              </w:rPr>
            </w:pPr>
          </w:p>
        </w:tc>
        <w:tc>
          <w:tcPr>
            <w:tcW w:w="1305" w:type="dxa"/>
            <w:vMerge w:val="continue"/>
            <w:vAlign w:val="center"/>
          </w:tcPr>
          <w:p>
            <w:pPr>
              <w:keepNext w:val="0"/>
              <w:keepLines w:val="0"/>
              <w:pageBreakBefore w:val="0"/>
              <w:widowControl/>
              <w:kinsoku/>
              <w:wordWrap/>
              <w:overflowPunct/>
              <w:topLinePunct w:val="0"/>
              <w:autoSpaceDE/>
              <w:autoSpaceDN/>
              <w:bidi w:val="0"/>
              <w:adjustRightInd/>
              <w:jc w:val="center"/>
              <w:textAlignment w:val="center"/>
              <w:rPr>
                <w:rFonts w:ascii="宋体"/>
                <w:szCs w:val="21"/>
              </w:rPr>
            </w:pPr>
          </w:p>
        </w:tc>
        <w:tc>
          <w:tcPr>
            <w:tcW w:w="2235" w:type="dxa"/>
            <w:vAlign w:val="center"/>
          </w:tcPr>
          <w:p>
            <w:pPr>
              <w:keepNext w:val="0"/>
              <w:keepLines w:val="0"/>
              <w:pageBreakBefore w:val="0"/>
              <w:widowControl/>
              <w:kinsoku/>
              <w:wordWrap/>
              <w:overflowPunct/>
              <w:topLinePunct w:val="0"/>
              <w:autoSpaceDE/>
              <w:autoSpaceDN/>
              <w:bidi w:val="0"/>
              <w:adjustRightInd/>
              <w:jc w:val="center"/>
              <w:textAlignment w:val="center"/>
              <w:rPr>
                <w:rFonts w:ascii="宋体"/>
                <w:szCs w:val="21"/>
              </w:rPr>
            </w:pPr>
            <w:r>
              <w:rPr>
                <w:rFonts w:hint="eastAsia" w:ascii="宋体" w:hAnsi="宋体" w:cs="方正仿宋_GBK"/>
                <w:kern w:val="0"/>
                <w:szCs w:val="21"/>
              </w:rPr>
              <w:t>汞</w:t>
            </w:r>
          </w:p>
        </w:tc>
        <w:tc>
          <w:tcPr>
            <w:tcW w:w="4272" w:type="dxa"/>
            <w:vAlign w:val="center"/>
          </w:tcPr>
          <w:p>
            <w:pPr>
              <w:keepNext w:val="0"/>
              <w:keepLines w:val="0"/>
              <w:pageBreakBefore w:val="0"/>
              <w:kinsoku/>
              <w:wordWrap/>
              <w:overflowPunct/>
              <w:topLinePunct w:val="0"/>
              <w:autoSpaceDE/>
              <w:autoSpaceDN/>
              <w:bidi w:val="0"/>
              <w:adjustRightInd/>
              <w:snapToGrid w:val="0"/>
              <w:jc w:val="center"/>
              <w:rPr>
                <w:rFonts w:ascii="宋体"/>
                <w:color w:val="000000"/>
                <w:szCs w:val="21"/>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61" w:type="dxa"/>
            <w:vMerge w:val="continue"/>
            <w:vAlign w:val="center"/>
          </w:tcPr>
          <w:p>
            <w:pPr>
              <w:keepNext w:val="0"/>
              <w:keepLines w:val="0"/>
              <w:pageBreakBefore w:val="0"/>
              <w:kinsoku/>
              <w:wordWrap/>
              <w:overflowPunct/>
              <w:topLinePunct w:val="0"/>
              <w:autoSpaceDE/>
              <w:autoSpaceDN/>
              <w:bidi w:val="0"/>
              <w:adjustRightInd/>
              <w:snapToGrid w:val="0"/>
              <w:jc w:val="center"/>
              <w:rPr>
                <w:rFonts w:ascii="宋体"/>
                <w:color w:val="000000"/>
                <w:szCs w:val="21"/>
              </w:rPr>
            </w:pPr>
          </w:p>
        </w:tc>
        <w:tc>
          <w:tcPr>
            <w:tcW w:w="1305" w:type="dxa"/>
            <w:vMerge w:val="continue"/>
            <w:vAlign w:val="center"/>
          </w:tcPr>
          <w:p>
            <w:pPr>
              <w:keepNext w:val="0"/>
              <w:keepLines w:val="0"/>
              <w:pageBreakBefore w:val="0"/>
              <w:widowControl/>
              <w:kinsoku/>
              <w:wordWrap/>
              <w:overflowPunct/>
              <w:topLinePunct w:val="0"/>
              <w:autoSpaceDE/>
              <w:autoSpaceDN/>
              <w:bidi w:val="0"/>
              <w:adjustRightInd/>
              <w:jc w:val="center"/>
              <w:textAlignment w:val="center"/>
              <w:rPr>
                <w:rFonts w:ascii="宋体"/>
                <w:szCs w:val="21"/>
              </w:rPr>
            </w:pPr>
          </w:p>
        </w:tc>
        <w:tc>
          <w:tcPr>
            <w:tcW w:w="2235" w:type="dxa"/>
            <w:vAlign w:val="center"/>
          </w:tcPr>
          <w:p>
            <w:pPr>
              <w:keepNext w:val="0"/>
              <w:keepLines w:val="0"/>
              <w:pageBreakBefore w:val="0"/>
              <w:widowControl/>
              <w:kinsoku/>
              <w:wordWrap/>
              <w:overflowPunct/>
              <w:topLinePunct w:val="0"/>
              <w:autoSpaceDE/>
              <w:autoSpaceDN/>
              <w:bidi w:val="0"/>
              <w:adjustRightInd/>
              <w:jc w:val="center"/>
              <w:textAlignment w:val="center"/>
              <w:rPr>
                <w:rFonts w:ascii="宋体"/>
                <w:szCs w:val="21"/>
              </w:rPr>
            </w:pPr>
            <w:r>
              <w:rPr>
                <w:rFonts w:hint="eastAsia" w:ascii="宋体" w:hAnsi="宋体" w:cs="方正仿宋_GBK"/>
                <w:kern w:val="0"/>
                <w:szCs w:val="21"/>
              </w:rPr>
              <w:t>铬</w:t>
            </w:r>
          </w:p>
        </w:tc>
        <w:tc>
          <w:tcPr>
            <w:tcW w:w="4272" w:type="dxa"/>
            <w:vAlign w:val="center"/>
          </w:tcPr>
          <w:p>
            <w:pPr>
              <w:keepNext w:val="0"/>
              <w:keepLines w:val="0"/>
              <w:pageBreakBefore w:val="0"/>
              <w:kinsoku/>
              <w:wordWrap/>
              <w:overflowPunct/>
              <w:topLinePunct w:val="0"/>
              <w:autoSpaceDE/>
              <w:autoSpaceDN/>
              <w:bidi w:val="0"/>
              <w:adjustRightInd/>
              <w:snapToGrid w:val="0"/>
              <w:jc w:val="center"/>
              <w:rPr>
                <w:rFonts w:ascii="宋体"/>
                <w:color w:val="000000"/>
                <w:szCs w:val="21"/>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61" w:type="dxa"/>
            <w:vMerge w:val="continue"/>
            <w:vAlign w:val="center"/>
          </w:tcPr>
          <w:p>
            <w:pPr>
              <w:keepNext w:val="0"/>
              <w:keepLines w:val="0"/>
              <w:pageBreakBefore w:val="0"/>
              <w:kinsoku/>
              <w:wordWrap/>
              <w:overflowPunct/>
              <w:topLinePunct w:val="0"/>
              <w:autoSpaceDE/>
              <w:autoSpaceDN/>
              <w:bidi w:val="0"/>
              <w:adjustRightInd/>
              <w:snapToGrid w:val="0"/>
              <w:jc w:val="center"/>
              <w:rPr>
                <w:rFonts w:ascii="宋体"/>
                <w:color w:val="000000"/>
                <w:szCs w:val="21"/>
              </w:rPr>
            </w:pPr>
          </w:p>
        </w:tc>
        <w:tc>
          <w:tcPr>
            <w:tcW w:w="1305" w:type="dxa"/>
            <w:vMerge w:val="continue"/>
            <w:vAlign w:val="center"/>
          </w:tcPr>
          <w:p>
            <w:pPr>
              <w:keepNext w:val="0"/>
              <w:keepLines w:val="0"/>
              <w:pageBreakBefore w:val="0"/>
              <w:widowControl/>
              <w:kinsoku/>
              <w:wordWrap/>
              <w:overflowPunct/>
              <w:topLinePunct w:val="0"/>
              <w:autoSpaceDE/>
              <w:autoSpaceDN/>
              <w:bidi w:val="0"/>
              <w:adjustRightInd/>
              <w:jc w:val="center"/>
              <w:textAlignment w:val="center"/>
              <w:rPr>
                <w:rFonts w:ascii="宋体"/>
                <w:szCs w:val="21"/>
              </w:rPr>
            </w:pPr>
          </w:p>
        </w:tc>
        <w:tc>
          <w:tcPr>
            <w:tcW w:w="2235" w:type="dxa"/>
            <w:vAlign w:val="center"/>
          </w:tcPr>
          <w:p>
            <w:pPr>
              <w:keepNext w:val="0"/>
              <w:keepLines w:val="0"/>
              <w:pageBreakBefore w:val="0"/>
              <w:widowControl/>
              <w:kinsoku/>
              <w:wordWrap/>
              <w:overflowPunct/>
              <w:topLinePunct w:val="0"/>
              <w:autoSpaceDE/>
              <w:autoSpaceDN/>
              <w:bidi w:val="0"/>
              <w:adjustRightInd/>
              <w:jc w:val="center"/>
              <w:textAlignment w:val="center"/>
              <w:rPr>
                <w:rFonts w:ascii="宋体"/>
                <w:szCs w:val="21"/>
              </w:rPr>
            </w:pPr>
            <w:r>
              <w:rPr>
                <w:rFonts w:hint="eastAsia" w:ascii="宋体" w:hAnsi="宋体" w:cs="方正仿宋_GBK"/>
                <w:kern w:val="0"/>
                <w:szCs w:val="21"/>
              </w:rPr>
              <w:t>硒</w:t>
            </w:r>
          </w:p>
        </w:tc>
        <w:tc>
          <w:tcPr>
            <w:tcW w:w="4272" w:type="dxa"/>
            <w:vAlign w:val="center"/>
          </w:tcPr>
          <w:p>
            <w:pPr>
              <w:keepNext w:val="0"/>
              <w:keepLines w:val="0"/>
              <w:pageBreakBefore w:val="0"/>
              <w:kinsoku/>
              <w:wordWrap/>
              <w:overflowPunct/>
              <w:topLinePunct w:val="0"/>
              <w:autoSpaceDE/>
              <w:autoSpaceDN/>
              <w:bidi w:val="0"/>
              <w:adjustRightInd/>
              <w:snapToGrid w:val="0"/>
              <w:jc w:val="center"/>
              <w:rPr>
                <w:rFonts w:ascii="宋体"/>
                <w:color w:val="000000"/>
                <w:szCs w:val="21"/>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61" w:type="dxa"/>
            <w:vMerge w:val="continue"/>
            <w:vAlign w:val="center"/>
          </w:tcPr>
          <w:p>
            <w:pPr>
              <w:keepNext w:val="0"/>
              <w:keepLines w:val="0"/>
              <w:pageBreakBefore w:val="0"/>
              <w:kinsoku/>
              <w:wordWrap/>
              <w:overflowPunct/>
              <w:topLinePunct w:val="0"/>
              <w:autoSpaceDE/>
              <w:autoSpaceDN/>
              <w:bidi w:val="0"/>
              <w:adjustRightInd/>
              <w:snapToGrid w:val="0"/>
              <w:jc w:val="center"/>
              <w:rPr>
                <w:rFonts w:ascii="宋体"/>
                <w:color w:val="000000"/>
                <w:szCs w:val="21"/>
              </w:rPr>
            </w:pPr>
          </w:p>
        </w:tc>
        <w:tc>
          <w:tcPr>
            <w:tcW w:w="1305" w:type="dxa"/>
            <w:vMerge w:val="continue"/>
            <w:vAlign w:val="center"/>
          </w:tcPr>
          <w:p>
            <w:pPr>
              <w:keepNext w:val="0"/>
              <w:keepLines w:val="0"/>
              <w:pageBreakBefore w:val="0"/>
              <w:widowControl/>
              <w:kinsoku/>
              <w:wordWrap/>
              <w:overflowPunct/>
              <w:topLinePunct w:val="0"/>
              <w:autoSpaceDE/>
              <w:autoSpaceDN/>
              <w:bidi w:val="0"/>
              <w:adjustRightInd/>
              <w:jc w:val="center"/>
              <w:textAlignment w:val="center"/>
              <w:rPr>
                <w:rFonts w:ascii="宋体"/>
                <w:szCs w:val="21"/>
              </w:rPr>
            </w:pPr>
          </w:p>
        </w:tc>
        <w:tc>
          <w:tcPr>
            <w:tcW w:w="2235" w:type="dxa"/>
            <w:vAlign w:val="center"/>
          </w:tcPr>
          <w:p>
            <w:pPr>
              <w:keepNext w:val="0"/>
              <w:keepLines w:val="0"/>
              <w:pageBreakBefore w:val="0"/>
              <w:widowControl/>
              <w:kinsoku/>
              <w:wordWrap/>
              <w:overflowPunct/>
              <w:topLinePunct w:val="0"/>
              <w:autoSpaceDE/>
              <w:autoSpaceDN/>
              <w:bidi w:val="0"/>
              <w:adjustRightInd/>
              <w:jc w:val="center"/>
              <w:textAlignment w:val="center"/>
              <w:rPr>
                <w:rFonts w:ascii="宋体"/>
                <w:szCs w:val="21"/>
              </w:rPr>
            </w:pPr>
            <w:r>
              <w:rPr>
                <w:rFonts w:hint="eastAsia" w:ascii="宋体" w:hAnsi="宋体" w:cs="方正仿宋_GBK"/>
                <w:kern w:val="0"/>
                <w:szCs w:val="21"/>
              </w:rPr>
              <w:t>砷</w:t>
            </w:r>
          </w:p>
        </w:tc>
        <w:tc>
          <w:tcPr>
            <w:tcW w:w="4272" w:type="dxa"/>
            <w:vAlign w:val="center"/>
          </w:tcPr>
          <w:p>
            <w:pPr>
              <w:keepNext w:val="0"/>
              <w:keepLines w:val="0"/>
              <w:pageBreakBefore w:val="0"/>
              <w:kinsoku/>
              <w:wordWrap/>
              <w:overflowPunct/>
              <w:topLinePunct w:val="0"/>
              <w:autoSpaceDE/>
              <w:autoSpaceDN/>
              <w:bidi w:val="0"/>
              <w:adjustRightInd/>
              <w:snapToGrid w:val="0"/>
              <w:jc w:val="center"/>
              <w:rPr>
                <w:rFonts w:ascii="宋体"/>
                <w:color w:val="000000"/>
                <w:szCs w:val="21"/>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61" w:type="dxa"/>
            <w:vMerge w:val="continue"/>
            <w:vAlign w:val="center"/>
          </w:tcPr>
          <w:p>
            <w:pPr>
              <w:keepNext w:val="0"/>
              <w:keepLines w:val="0"/>
              <w:pageBreakBefore w:val="0"/>
              <w:kinsoku/>
              <w:wordWrap/>
              <w:overflowPunct/>
              <w:topLinePunct w:val="0"/>
              <w:autoSpaceDE/>
              <w:autoSpaceDN/>
              <w:bidi w:val="0"/>
              <w:adjustRightInd/>
              <w:snapToGrid w:val="0"/>
              <w:jc w:val="center"/>
              <w:rPr>
                <w:rFonts w:ascii="宋体"/>
                <w:color w:val="000000"/>
                <w:szCs w:val="21"/>
              </w:rPr>
            </w:pPr>
          </w:p>
        </w:tc>
        <w:tc>
          <w:tcPr>
            <w:tcW w:w="1305" w:type="dxa"/>
            <w:vMerge w:val="continue"/>
            <w:vAlign w:val="center"/>
          </w:tcPr>
          <w:p>
            <w:pPr>
              <w:keepNext w:val="0"/>
              <w:keepLines w:val="0"/>
              <w:pageBreakBefore w:val="0"/>
              <w:widowControl/>
              <w:kinsoku/>
              <w:wordWrap/>
              <w:overflowPunct/>
              <w:topLinePunct w:val="0"/>
              <w:autoSpaceDE/>
              <w:autoSpaceDN/>
              <w:bidi w:val="0"/>
              <w:adjustRightInd/>
              <w:jc w:val="center"/>
              <w:textAlignment w:val="center"/>
              <w:rPr>
                <w:rFonts w:ascii="宋体"/>
                <w:szCs w:val="21"/>
              </w:rPr>
            </w:pPr>
          </w:p>
        </w:tc>
        <w:tc>
          <w:tcPr>
            <w:tcW w:w="2235" w:type="dxa"/>
            <w:vAlign w:val="center"/>
          </w:tcPr>
          <w:p>
            <w:pPr>
              <w:keepNext w:val="0"/>
              <w:keepLines w:val="0"/>
              <w:pageBreakBefore w:val="0"/>
              <w:widowControl/>
              <w:kinsoku/>
              <w:wordWrap/>
              <w:overflowPunct/>
              <w:topLinePunct w:val="0"/>
              <w:autoSpaceDE/>
              <w:autoSpaceDN/>
              <w:bidi w:val="0"/>
              <w:adjustRightInd/>
              <w:jc w:val="center"/>
              <w:textAlignment w:val="center"/>
              <w:rPr>
                <w:rFonts w:ascii="宋体"/>
                <w:szCs w:val="21"/>
              </w:rPr>
            </w:pPr>
            <w:r>
              <w:rPr>
                <w:rFonts w:hint="eastAsia" w:ascii="宋体" w:hAnsi="宋体" w:cs="方正仿宋_GBK"/>
                <w:kern w:val="0"/>
                <w:szCs w:val="21"/>
              </w:rPr>
              <w:t>钡</w:t>
            </w:r>
          </w:p>
        </w:tc>
        <w:tc>
          <w:tcPr>
            <w:tcW w:w="4272" w:type="dxa"/>
            <w:vAlign w:val="center"/>
          </w:tcPr>
          <w:p>
            <w:pPr>
              <w:keepNext w:val="0"/>
              <w:keepLines w:val="0"/>
              <w:pageBreakBefore w:val="0"/>
              <w:kinsoku/>
              <w:wordWrap/>
              <w:overflowPunct/>
              <w:topLinePunct w:val="0"/>
              <w:autoSpaceDE/>
              <w:autoSpaceDN/>
              <w:bidi w:val="0"/>
              <w:adjustRightInd/>
              <w:snapToGrid w:val="0"/>
              <w:jc w:val="center"/>
              <w:rPr>
                <w:rFonts w:ascii="宋体"/>
                <w:color w:val="000000"/>
                <w:szCs w:val="21"/>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61" w:type="dxa"/>
            <w:vMerge w:val="continue"/>
            <w:vAlign w:val="center"/>
          </w:tcPr>
          <w:p>
            <w:pPr>
              <w:keepNext w:val="0"/>
              <w:keepLines w:val="0"/>
              <w:pageBreakBefore w:val="0"/>
              <w:kinsoku/>
              <w:wordWrap/>
              <w:overflowPunct/>
              <w:topLinePunct w:val="0"/>
              <w:autoSpaceDE/>
              <w:autoSpaceDN/>
              <w:bidi w:val="0"/>
              <w:adjustRightInd/>
              <w:snapToGrid w:val="0"/>
              <w:jc w:val="center"/>
              <w:rPr>
                <w:rFonts w:ascii="宋体"/>
                <w:color w:val="000000"/>
                <w:szCs w:val="21"/>
              </w:rPr>
            </w:pPr>
          </w:p>
        </w:tc>
        <w:tc>
          <w:tcPr>
            <w:tcW w:w="1305" w:type="dxa"/>
            <w:vMerge w:val="continue"/>
            <w:vAlign w:val="center"/>
          </w:tcPr>
          <w:p>
            <w:pPr>
              <w:keepNext w:val="0"/>
              <w:keepLines w:val="0"/>
              <w:pageBreakBefore w:val="0"/>
              <w:widowControl/>
              <w:kinsoku/>
              <w:wordWrap/>
              <w:overflowPunct/>
              <w:topLinePunct w:val="0"/>
              <w:autoSpaceDE/>
              <w:autoSpaceDN/>
              <w:bidi w:val="0"/>
              <w:adjustRightInd/>
              <w:jc w:val="center"/>
              <w:textAlignment w:val="center"/>
              <w:rPr>
                <w:rFonts w:ascii="宋体"/>
                <w:szCs w:val="21"/>
              </w:rPr>
            </w:pPr>
          </w:p>
        </w:tc>
        <w:tc>
          <w:tcPr>
            <w:tcW w:w="2235" w:type="dxa"/>
            <w:vAlign w:val="center"/>
          </w:tcPr>
          <w:p>
            <w:pPr>
              <w:keepNext w:val="0"/>
              <w:keepLines w:val="0"/>
              <w:pageBreakBefore w:val="0"/>
              <w:widowControl/>
              <w:kinsoku/>
              <w:wordWrap/>
              <w:overflowPunct/>
              <w:topLinePunct w:val="0"/>
              <w:autoSpaceDE/>
              <w:autoSpaceDN/>
              <w:bidi w:val="0"/>
              <w:adjustRightInd/>
              <w:jc w:val="center"/>
              <w:textAlignment w:val="center"/>
              <w:rPr>
                <w:rFonts w:ascii="宋体"/>
                <w:szCs w:val="21"/>
              </w:rPr>
            </w:pPr>
            <w:r>
              <w:rPr>
                <w:rFonts w:hint="eastAsia" w:ascii="宋体" w:hAnsi="宋体" w:cs="方正仿宋_GBK"/>
                <w:kern w:val="0"/>
                <w:szCs w:val="21"/>
              </w:rPr>
              <w:t>锑</w:t>
            </w:r>
          </w:p>
        </w:tc>
        <w:tc>
          <w:tcPr>
            <w:tcW w:w="4272" w:type="dxa"/>
            <w:vAlign w:val="center"/>
          </w:tcPr>
          <w:p>
            <w:pPr>
              <w:keepNext w:val="0"/>
              <w:keepLines w:val="0"/>
              <w:pageBreakBefore w:val="0"/>
              <w:kinsoku/>
              <w:wordWrap/>
              <w:overflowPunct/>
              <w:topLinePunct w:val="0"/>
              <w:autoSpaceDE/>
              <w:autoSpaceDN/>
              <w:bidi w:val="0"/>
              <w:adjustRightInd/>
              <w:snapToGrid w:val="0"/>
              <w:jc w:val="center"/>
              <w:rPr>
                <w:rFonts w:ascii="宋体"/>
                <w:color w:val="000000"/>
                <w:szCs w:val="21"/>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61" w:type="dxa"/>
            <w:vAlign w:val="center"/>
          </w:tcPr>
          <w:p>
            <w:pPr>
              <w:keepNext w:val="0"/>
              <w:keepLines w:val="0"/>
              <w:pageBreakBefore w:val="0"/>
              <w:kinsoku/>
              <w:wordWrap/>
              <w:overflowPunct/>
              <w:topLinePunct w:val="0"/>
              <w:autoSpaceDE/>
              <w:autoSpaceDN/>
              <w:bidi w:val="0"/>
              <w:adjustRightInd/>
              <w:snapToGrid w:val="0"/>
              <w:jc w:val="center"/>
              <w:rPr>
                <w:rFonts w:hint="default" w:ascii="宋体" w:eastAsia="宋体"/>
                <w:color w:val="000000"/>
                <w:szCs w:val="21"/>
                <w:lang w:val="en-US" w:eastAsia="zh-CN"/>
              </w:rPr>
            </w:pPr>
            <w:r>
              <w:rPr>
                <w:rFonts w:hint="eastAsia" w:ascii="宋体"/>
                <w:color w:val="000000"/>
                <w:szCs w:val="21"/>
                <w:lang w:val="en-US" w:eastAsia="zh-CN"/>
              </w:rPr>
              <w:t>2</w:t>
            </w:r>
          </w:p>
        </w:tc>
        <w:tc>
          <w:tcPr>
            <w:tcW w:w="3540" w:type="dxa"/>
            <w:gridSpan w:val="2"/>
            <w:vAlign w:val="center"/>
          </w:tcPr>
          <w:p>
            <w:pPr>
              <w:keepNext w:val="0"/>
              <w:keepLines w:val="0"/>
              <w:pageBreakBefore w:val="0"/>
              <w:widowControl/>
              <w:kinsoku/>
              <w:wordWrap/>
              <w:overflowPunct/>
              <w:topLinePunct w:val="0"/>
              <w:autoSpaceDE/>
              <w:autoSpaceDN/>
              <w:bidi w:val="0"/>
              <w:adjustRightInd/>
              <w:jc w:val="center"/>
              <w:textAlignment w:val="center"/>
              <w:rPr>
                <w:rFonts w:hint="eastAsia" w:ascii="宋体" w:eastAsia="宋体"/>
                <w:szCs w:val="21"/>
                <w:lang w:eastAsia="zh-CN"/>
              </w:rPr>
            </w:pPr>
            <w:r>
              <w:rPr>
                <w:rFonts w:hint="eastAsia" w:ascii="宋体" w:hAnsi="宋体" w:cs="方正仿宋_GBK"/>
                <w:kern w:val="0"/>
                <w:szCs w:val="21"/>
                <w:lang w:eastAsia="zh-CN"/>
              </w:rPr>
              <w:t>笔</w:t>
            </w:r>
            <w:r>
              <w:rPr>
                <w:rFonts w:hint="eastAsia" w:ascii="宋体" w:hAnsi="宋体" w:cs="方正仿宋_GBK"/>
                <w:kern w:val="0"/>
                <w:szCs w:val="21"/>
                <w:lang w:val="en-US" w:eastAsia="zh-CN"/>
              </w:rPr>
              <w:t>套</w:t>
            </w:r>
            <w:r>
              <w:rPr>
                <w:rFonts w:hint="eastAsia" w:ascii="宋体" w:hAnsi="宋体" w:cs="方正仿宋_GBK"/>
                <w:kern w:val="0"/>
                <w:szCs w:val="21"/>
                <w:lang w:eastAsia="zh-CN"/>
              </w:rPr>
              <w:t>安全</w:t>
            </w:r>
          </w:p>
        </w:tc>
        <w:tc>
          <w:tcPr>
            <w:tcW w:w="4272" w:type="dxa"/>
            <w:vAlign w:val="center"/>
          </w:tcPr>
          <w:p>
            <w:pPr>
              <w:keepNext w:val="0"/>
              <w:keepLines w:val="0"/>
              <w:pageBreakBefore w:val="0"/>
              <w:kinsoku/>
              <w:wordWrap/>
              <w:overflowPunct/>
              <w:topLinePunct w:val="0"/>
              <w:autoSpaceDE/>
              <w:autoSpaceDN/>
              <w:bidi w:val="0"/>
              <w:adjustRightInd/>
              <w:snapToGrid w:val="0"/>
              <w:jc w:val="center"/>
              <w:rPr>
                <w:rFonts w:hint="default" w:ascii="宋体" w:eastAsia="宋体"/>
                <w:color w:val="000000"/>
                <w:szCs w:val="21"/>
                <w:lang w:val="en-US" w:eastAsia="zh-CN"/>
              </w:rPr>
            </w:pPr>
            <w:r>
              <w:rPr>
                <w:rFonts w:hint="eastAsia" w:ascii="宋体" w:hAnsi="宋体"/>
                <w:color w:val="000000"/>
                <w:szCs w:val="21"/>
                <w:lang w:val="en-US" w:eastAsia="zh-CN"/>
              </w:rPr>
              <w:t>GB 21027-2020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61" w:type="dxa"/>
            <w:vAlign w:val="center"/>
          </w:tcPr>
          <w:p>
            <w:pPr>
              <w:keepNext w:val="0"/>
              <w:keepLines w:val="0"/>
              <w:pageBreakBefore w:val="0"/>
              <w:kinsoku/>
              <w:wordWrap/>
              <w:overflowPunct/>
              <w:topLinePunct w:val="0"/>
              <w:autoSpaceDE/>
              <w:autoSpaceDN/>
              <w:bidi w:val="0"/>
              <w:adjustRightInd/>
              <w:snapToGrid w:val="0"/>
              <w:jc w:val="center"/>
              <w:rPr>
                <w:rFonts w:hint="default" w:ascii="宋体" w:eastAsia="宋体"/>
                <w:color w:val="000000"/>
                <w:szCs w:val="21"/>
                <w:lang w:val="en-US" w:eastAsia="zh-CN"/>
              </w:rPr>
            </w:pPr>
            <w:r>
              <w:rPr>
                <w:rFonts w:hint="eastAsia" w:ascii="宋体"/>
                <w:color w:val="000000"/>
                <w:szCs w:val="21"/>
                <w:lang w:val="en-US" w:eastAsia="zh-CN"/>
              </w:rPr>
              <w:t>3</w:t>
            </w:r>
          </w:p>
        </w:tc>
        <w:tc>
          <w:tcPr>
            <w:tcW w:w="3540" w:type="dxa"/>
            <w:gridSpan w:val="2"/>
            <w:vAlign w:val="center"/>
          </w:tcPr>
          <w:p>
            <w:pPr>
              <w:keepNext w:val="0"/>
              <w:keepLines w:val="0"/>
              <w:pageBreakBefore w:val="0"/>
              <w:widowControl/>
              <w:kinsoku/>
              <w:wordWrap/>
              <w:overflowPunct/>
              <w:topLinePunct w:val="0"/>
              <w:autoSpaceDE/>
              <w:autoSpaceDN/>
              <w:bidi w:val="0"/>
              <w:adjustRightInd/>
              <w:jc w:val="center"/>
              <w:textAlignment w:val="center"/>
              <w:rPr>
                <w:rFonts w:hint="eastAsia" w:ascii="宋体" w:hAnsi="宋体" w:cs="方正仿宋_GBK"/>
                <w:kern w:val="0"/>
                <w:szCs w:val="21"/>
                <w:lang w:eastAsia="zh-CN"/>
              </w:rPr>
            </w:pPr>
            <w:r>
              <w:rPr>
                <w:rFonts w:hint="eastAsia" w:ascii="宋体" w:hAnsi="宋体" w:cs="方正仿宋_GBK"/>
                <w:kern w:val="0"/>
                <w:szCs w:val="21"/>
                <w:lang w:val="en-US" w:eastAsia="zh-CN"/>
              </w:rPr>
              <w:t>软化点</w:t>
            </w:r>
          </w:p>
        </w:tc>
        <w:tc>
          <w:tcPr>
            <w:tcW w:w="4272" w:type="dxa"/>
            <w:vAlign w:val="center"/>
          </w:tcPr>
          <w:p>
            <w:pPr>
              <w:keepNext w:val="0"/>
              <w:keepLines w:val="0"/>
              <w:pageBreakBefore w:val="0"/>
              <w:kinsoku/>
              <w:wordWrap/>
              <w:overflowPunct/>
              <w:topLinePunct w:val="0"/>
              <w:autoSpaceDE/>
              <w:autoSpaceDN/>
              <w:bidi w:val="0"/>
              <w:adjustRightInd/>
              <w:snapToGrid w:val="0"/>
              <w:jc w:val="center"/>
              <w:rPr>
                <w:rFonts w:hint="eastAsia" w:ascii="宋体" w:hAnsi="宋体"/>
                <w:color w:val="000000"/>
                <w:szCs w:val="21"/>
                <w:lang w:val="en-US" w:eastAsia="zh-CN"/>
              </w:rPr>
            </w:pPr>
            <w:r>
              <w:rPr>
                <w:rFonts w:hint="eastAsia" w:ascii="宋体" w:hAnsi="宋体"/>
                <w:color w:val="000000"/>
                <w:szCs w:val="21"/>
                <w:lang w:val="en-US" w:eastAsia="zh-CN"/>
              </w:rPr>
              <w:t>QB/T 2586-2014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61" w:type="dxa"/>
            <w:vAlign w:val="center"/>
          </w:tcPr>
          <w:p>
            <w:pPr>
              <w:keepNext w:val="0"/>
              <w:keepLines w:val="0"/>
              <w:pageBreakBefore w:val="0"/>
              <w:kinsoku/>
              <w:wordWrap/>
              <w:overflowPunct/>
              <w:topLinePunct w:val="0"/>
              <w:autoSpaceDE/>
              <w:autoSpaceDN/>
              <w:bidi w:val="0"/>
              <w:adjustRightInd/>
              <w:snapToGrid w:val="0"/>
              <w:jc w:val="center"/>
              <w:rPr>
                <w:rFonts w:hint="default" w:ascii="宋体" w:eastAsia="宋体"/>
                <w:color w:val="000000"/>
                <w:szCs w:val="21"/>
                <w:lang w:val="en-US" w:eastAsia="zh-CN"/>
              </w:rPr>
            </w:pPr>
            <w:r>
              <w:rPr>
                <w:rFonts w:hint="eastAsia" w:ascii="宋体"/>
                <w:color w:val="000000"/>
                <w:szCs w:val="21"/>
                <w:lang w:val="en-US" w:eastAsia="zh-CN"/>
              </w:rPr>
              <w:t>4</w:t>
            </w:r>
          </w:p>
        </w:tc>
        <w:tc>
          <w:tcPr>
            <w:tcW w:w="3540" w:type="dxa"/>
            <w:gridSpan w:val="2"/>
            <w:vAlign w:val="center"/>
          </w:tcPr>
          <w:p>
            <w:pPr>
              <w:keepNext w:val="0"/>
              <w:keepLines w:val="0"/>
              <w:pageBreakBefore w:val="0"/>
              <w:widowControl/>
              <w:kinsoku/>
              <w:wordWrap/>
              <w:overflowPunct/>
              <w:topLinePunct w:val="0"/>
              <w:autoSpaceDE/>
              <w:autoSpaceDN/>
              <w:bidi w:val="0"/>
              <w:adjustRightInd/>
              <w:jc w:val="center"/>
              <w:textAlignment w:val="center"/>
              <w:rPr>
                <w:rFonts w:hint="eastAsia" w:ascii="宋体" w:hAnsi="宋体" w:cs="方正仿宋_GBK"/>
                <w:kern w:val="0"/>
                <w:szCs w:val="21"/>
                <w:lang w:eastAsia="zh-CN"/>
              </w:rPr>
            </w:pPr>
            <w:r>
              <w:rPr>
                <w:rFonts w:hint="eastAsia" w:ascii="宋体" w:hAnsi="宋体" w:cs="方正仿宋_GBK"/>
                <w:kern w:val="0"/>
                <w:szCs w:val="21"/>
                <w:lang w:eastAsia="zh-CN"/>
              </w:rPr>
              <w:t>抗折力</w:t>
            </w:r>
          </w:p>
        </w:tc>
        <w:tc>
          <w:tcPr>
            <w:tcW w:w="4272" w:type="dxa"/>
            <w:vAlign w:val="center"/>
          </w:tcPr>
          <w:p>
            <w:pPr>
              <w:keepNext w:val="0"/>
              <w:keepLines w:val="0"/>
              <w:pageBreakBefore w:val="0"/>
              <w:kinsoku/>
              <w:wordWrap/>
              <w:overflowPunct/>
              <w:topLinePunct w:val="0"/>
              <w:autoSpaceDE/>
              <w:autoSpaceDN/>
              <w:bidi w:val="0"/>
              <w:adjustRightInd/>
              <w:snapToGrid w:val="0"/>
              <w:jc w:val="center"/>
              <w:rPr>
                <w:rFonts w:hint="eastAsia" w:ascii="宋体" w:hAnsi="宋体"/>
                <w:color w:val="000000"/>
                <w:szCs w:val="21"/>
                <w:lang w:val="en-US" w:eastAsia="zh-CN"/>
              </w:rPr>
            </w:pPr>
            <w:r>
              <w:rPr>
                <w:rFonts w:hint="eastAsia" w:ascii="宋体" w:hAnsi="宋体"/>
                <w:color w:val="000000"/>
                <w:szCs w:val="21"/>
                <w:lang w:val="en-US" w:eastAsia="zh-CN"/>
              </w:rPr>
              <w:t>QB/T 2586-2014</w:t>
            </w:r>
          </w:p>
        </w:tc>
      </w:tr>
    </w:tbl>
    <w:p>
      <w:pPr>
        <w:snapToGrid w:val="0"/>
        <w:spacing w:line="440" w:lineRule="exact"/>
        <w:jc w:val="center"/>
        <w:rPr>
          <w:rFonts w:hint="eastAsia" w:ascii="宋体" w:hAnsi="宋体"/>
          <w:color w:val="000000"/>
          <w:szCs w:val="21"/>
          <w:lang w:eastAsia="zh-CN"/>
        </w:rPr>
      </w:pPr>
      <w:r>
        <w:rPr>
          <w:rFonts w:hint="eastAsia" w:ascii="宋体" w:hAnsi="宋体"/>
          <w:color w:val="000000"/>
          <w:szCs w:val="21"/>
        </w:rPr>
        <w:t>表</w:t>
      </w:r>
      <w:r>
        <w:rPr>
          <w:rFonts w:hint="eastAsia" w:ascii="宋体" w:hAnsi="宋体"/>
          <w:color w:val="000000"/>
          <w:szCs w:val="21"/>
          <w:lang w:val="en-US" w:eastAsia="zh-CN"/>
        </w:rPr>
        <w:t>2</w:t>
      </w:r>
      <w:r>
        <w:rPr>
          <w:rFonts w:hint="eastAsia" w:ascii="宋体" w:hAnsi="宋体"/>
          <w:color w:val="000000"/>
          <w:szCs w:val="21"/>
        </w:rPr>
        <w:t xml:space="preserve"> </w:t>
      </w:r>
      <w:r>
        <w:rPr>
          <w:rFonts w:hint="eastAsia" w:ascii="宋体" w:hAnsi="宋体"/>
          <w:color w:val="000000"/>
          <w:szCs w:val="21"/>
          <w:lang w:val="en-US" w:eastAsia="zh-CN"/>
        </w:rPr>
        <w:t>蜡笔</w:t>
      </w:r>
    </w:p>
    <w:tbl>
      <w:tblPr>
        <w:tblStyle w:val="5"/>
        <w:tblW w:w="9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1"/>
        <w:gridCol w:w="1305"/>
        <w:gridCol w:w="2250"/>
        <w:gridCol w:w="4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61" w:type="dxa"/>
            <w:vAlign w:val="center"/>
          </w:tcPr>
          <w:p>
            <w:pPr>
              <w:snapToGrid w:val="0"/>
              <w:jc w:val="center"/>
              <w:rPr>
                <w:rFonts w:hint="eastAsia" w:ascii="宋体" w:eastAsia="宋体"/>
                <w:color w:val="000000"/>
                <w:szCs w:val="21"/>
                <w:lang w:eastAsia="zh-CN"/>
              </w:rPr>
            </w:pPr>
            <w:r>
              <w:rPr>
                <w:rFonts w:hint="eastAsia" w:ascii="宋体" w:hAnsi="宋体"/>
                <w:color w:val="000000"/>
                <w:szCs w:val="21"/>
                <w:lang w:val="en-US" w:eastAsia="zh-CN"/>
              </w:rPr>
              <w:t>序号</w:t>
            </w:r>
          </w:p>
        </w:tc>
        <w:tc>
          <w:tcPr>
            <w:tcW w:w="3555" w:type="dxa"/>
            <w:gridSpan w:val="2"/>
            <w:vAlign w:val="center"/>
          </w:tcPr>
          <w:p>
            <w:pPr>
              <w:snapToGrid w:val="0"/>
              <w:jc w:val="center"/>
              <w:rPr>
                <w:rFonts w:ascii="宋体"/>
                <w:color w:val="000000"/>
                <w:szCs w:val="21"/>
              </w:rPr>
            </w:pPr>
            <w:r>
              <w:rPr>
                <w:rFonts w:hint="eastAsia" w:ascii="宋体" w:hAnsi="宋体"/>
                <w:color w:val="000000"/>
                <w:szCs w:val="21"/>
              </w:rPr>
              <w:t>检验项目</w:t>
            </w:r>
          </w:p>
        </w:tc>
        <w:tc>
          <w:tcPr>
            <w:tcW w:w="4257" w:type="dxa"/>
            <w:vAlign w:val="center"/>
          </w:tcPr>
          <w:p>
            <w:pPr>
              <w:snapToGrid w:val="0"/>
              <w:jc w:val="center"/>
              <w:rPr>
                <w:rFonts w:ascii="宋体"/>
                <w:color w:val="000000"/>
                <w:szCs w:val="21"/>
              </w:rPr>
            </w:pPr>
            <w:r>
              <w:rPr>
                <w:rFonts w:hint="eastAsia" w:ascii="宋体" w:hAnsi="宋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61" w:type="dxa"/>
            <w:vMerge w:val="restart"/>
            <w:vAlign w:val="center"/>
          </w:tcPr>
          <w:p>
            <w:pPr>
              <w:keepNext w:val="0"/>
              <w:keepLines w:val="0"/>
              <w:pageBreakBefore w:val="0"/>
              <w:widowControl w:val="0"/>
              <w:kinsoku/>
              <w:wordWrap/>
              <w:overflowPunct/>
              <w:topLinePunct w:val="0"/>
              <w:autoSpaceDE/>
              <w:autoSpaceDN/>
              <w:bidi w:val="0"/>
              <w:adjustRightInd/>
              <w:snapToGrid w:val="0"/>
              <w:jc w:val="center"/>
              <w:rPr>
                <w:rFonts w:hint="default" w:ascii="宋体" w:eastAsia="宋体"/>
                <w:color w:val="000000"/>
                <w:szCs w:val="21"/>
                <w:lang w:val="en-US" w:eastAsia="zh-CN"/>
              </w:rPr>
            </w:pPr>
            <w:r>
              <w:rPr>
                <w:rFonts w:hint="eastAsia" w:ascii="宋体"/>
                <w:color w:val="000000"/>
                <w:szCs w:val="21"/>
                <w:lang w:val="en-US" w:eastAsia="zh-CN"/>
              </w:rPr>
              <w:t>1</w:t>
            </w:r>
          </w:p>
        </w:tc>
        <w:tc>
          <w:tcPr>
            <w:tcW w:w="1305" w:type="dxa"/>
            <w:vMerge w:val="restart"/>
            <w:vAlign w:val="center"/>
          </w:tcPr>
          <w:p>
            <w:pPr>
              <w:keepNext w:val="0"/>
              <w:keepLines w:val="0"/>
              <w:pageBreakBefore w:val="0"/>
              <w:widowControl w:val="0"/>
              <w:kinsoku/>
              <w:wordWrap/>
              <w:overflowPunct/>
              <w:topLinePunct w:val="0"/>
              <w:autoSpaceDE/>
              <w:autoSpaceDN/>
              <w:bidi w:val="0"/>
              <w:adjustRightInd/>
              <w:jc w:val="center"/>
              <w:textAlignment w:val="center"/>
              <w:rPr>
                <w:rFonts w:hint="eastAsia" w:ascii="宋体" w:hAnsi="宋体" w:cs="方正仿宋_GBK"/>
                <w:kern w:val="0"/>
                <w:szCs w:val="21"/>
                <w:lang w:eastAsia="zh-CN"/>
              </w:rPr>
            </w:pPr>
            <w:r>
              <w:rPr>
                <w:rFonts w:hint="eastAsia" w:ascii="宋体" w:hAnsi="宋体"/>
                <w:szCs w:val="21"/>
              </w:rPr>
              <w:t>可迁移元素</w:t>
            </w:r>
            <w:r>
              <w:rPr>
                <w:rFonts w:hint="eastAsia" w:ascii="宋体" w:hAnsi="宋体"/>
                <w:szCs w:val="21"/>
                <w:lang w:eastAsia="zh-CN"/>
              </w:rPr>
              <w:t>的</w:t>
            </w:r>
            <w:r>
              <w:rPr>
                <w:rFonts w:hint="eastAsia" w:ascii="宋体" w:hAnsi="宋体"/>
                <w:szCs w:val="21"/>
              </w:rPr>
              <w:t>限量</w:t>
            </w:r>
          </w:p>
        </w:tc>
        <w:tc>
          <w:tcPr>
            <w:tcW w:w="2250" w:type="dxa"/>
            <w:vAlign w:val="center"/>
          </w:tcPr>
          <w:p>
            <w:pPr>
              <w:keepNext w:val="0"/>
              <w:keepLines w:val="0"/>
              <w:pageBreakBefore w:val="0"/>
              <w:widowControl/>
              <w:kinsoku/>
              <w:wordWrap/>
              <w:overflowPunct/>
              <w:topLinePunct w:val="0"/>
              <w:autoSpaceDE/>
              <w:autoSpaceDN/>
              <w:bidi w:val="0"/>
              <w:adjustRightInd/>
              <w:jc w:val="center"/>
              <w:textAlignment w:val="center"/>
              <w:rPr>
                <w:rFonts w:hint="eastAsia" w:ascii="宋体" w:hAnsi="Times New Roman" w:eastAsia="宋体" w:cs="Times New Roman"/>
                <w:kern w:val="2"/>
                <w:sz w:val="21"/>
                <w:szCs w:val="21"/>
                <w:lang w:val="en-US" w:eastAsia="zh-CN" w:bidi="ar-SA"/>
              </w:rPr>
            </w:pPr>
            <w:r>
              <w:rPr>
                <w:rFonts w:hint="eastAsia" w:ascii="宋体" w:hAnsi="宋体" w:cs="方正仿宋_GBK"/>
                <w:kern w:val="0"/>
                <w:szCs w:val="21"/>
              </w:rPr>
              <w:t>铅</w:t>
            </w:r>
          </w:p>
        </w:tc>
        <w:tc>
          <w:tcPr>
            <w:tcW w:w="4257" w:type="dxa"/>
            <w:vAlign w:val="center"/>
          </w:tcPr>
          <w:p>
            <w:pPr>
              <w:snapToGrid w:val="0"/>
              <w:jc w:val="center"/>
              <w:rPr>
                <w:rFonts w:hint="eastAsia" w:ascii="宋体" w:hAnsi="宋体" w:eastAsia="宋体" w:cs="Times New Roman"/>
                <w:color w:val="000000"/>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61" w:type="dxa"/>
            <w:vMerge w:val="continue"/>
            <w:vAlign w:val="center"/>
          </w:tcPr>
          <w:p>
            <w:pPr>
              <w:keepNext w:val="0"/>
              <w:keepLines w:val="0"/>
              <w:pageBreakBefore w:val="0"/>
              <w:widowControl/>
              <w:kinsoku/>
              <w:wordWrap/>
              <w:overflowPunct/>
              <w:topLinePunct w:val="0"/>
              <w:autoSpaceDE/>
              <w:autoSpaceDN/>
              <w:bidi w:val="0"/>
              <w:adjustRightInd/>
              <w:snapToGrid w:val="0"/>
              <w:jc w:val="center"/>
              <w:rPr>
                <w:rFonts w:hint="eastAsia" w:ascii="宋体" w:eastAsia="宋体"/>
                <w:color w:val="000000"/>
                <w:szCs w:val="21"/>
                <w:lang w:eastAsia="zh-CN"/>
              </w:rPr>
            </w:pPr>
          </w:p>
        </w:tc>
        <w:tc>
          <w:tcPr>
            <w:tcW w:w="1305" w:type="dxa"/>
            <w:vMerge w:val="continue"/>
            <w:vAlign w:val="center"/>
          </w:tcPr>
          <w:p>
            <w:pPr>
              <w:keepNext w:val="0"/>
              <w:keepLines w:val="0"/>
              <w:pageBreakBefore w:val="0"/>
              <w:widowControl/>
              <w:kinsoku/>
              <w:wordWrap/>
              <w:overflowPunct/>
              <w:topLinePunct w:val="0"/>
              <w:autoSpaceDE/>
              <w:autoSpaceDN/>
              <w:bidi w:val="0"/>
              <w:adjustRightInd/>
              <w:jc w:val="center"/>
              <w:textAlignment w:val="center"/>
              <w:rPr>
                <w:rFonts w:hint="eastAsia" w:ascii="宋体" w:hAnsi="宋体" w:cs="方正仿宋_GBK"/>
                <w:kern w:val="0"/>
                <w:szCs w:val="21"/>
                <w:lang w:eastAsia="zh-CN"/>
              </w:rPr>
            </w:pPr>
          </w:p>
        </w:tc>
        <w:tc>
          <w:tcPr>
            <w:tcW w:w="2250" w:type="dxa"/>
            <w:vAlign w:val="center"/>
          </w:tcPr>
          <w:p>
            <w:pPr>
              <w:keepNext w:val="0"/>
              <w:keepLines w:val="0"/>
              <w:pageBreakBefore w:val="0"/>
              <w:widowControl/>
              <w:kinsoku/>
              <w:wordWrap/>
              <w:overflowPunct/>
              <w:topLinePunct w:val="0"/>
              <w:autoSpaceDE/>
              <w:autoSpaceDN/>
              <w:bidi w:val="0"/>
              <w:adjustRightInd/>
              <w:jc w:val="center"/>
              <w:textAlignment w:val="center"/>
              <w:rPr>
                <w:rFonts w:hint="eastAsia" w:ascii="宋体" w:hAnsi="Times New Roman" w:eastAsia="宋体" w:cs="Times New Roman"/>
                <w:kern w:val="2"/>
                <w:sz w:val="21"/>
                <w:szCs w:val="21"/>
                <w:lang w:val="en-US" w:eastAsia="zh-CN" w:bidi="ar-SA"/>
              </w:rPr>
            </w:pPr>
            <w:r>
              <w:rPr>
                <w:rFonts w:hint="eastAsia" w:ascii="宋体" w:hAnsi="宋体" w:cs="方正仿宋_GBK"/>
                <w:kern w:val="0"/>
                <w:szCs w:val="21"/>
              </w:rPr>
              <w:t>镉</w:t>
            </w:r>
          </w:p>
        </w:tc>
        <w:tc>
          <w:tcPr>
            <w:tcW w:w="4257" w:type="dxa"/>
            <w:vAlign w:val="center"/>
          </w:tcPr>
          <w:p>
            <w:pPr>
              <w:snapToGrid w:val="0"/>
              <w:jc w:val="center"/>
              <w:rPr>
                <w:rFonts w:hint="eastAsia" w:ascii="宋体" w:hAnsi="Times New Roman" w:eastAsia="宋体" w:cs="Times New Roman"/>
                <w:color w:val="000000"/>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61" w:type="dxa"/>
            <w:vMerge w:val="continue"/>
            <w:vAlign w:val="center"/>
          </w:tcPr>
          <w:p>
            <w:pPr>
              <w:keepNext w:val="0"/>
              <w:keepLines w:val="0"/>
              <w:pageBreakBefore w:val="0"/>
              <w:widowControl/>
              <w:kinsoku/>
              <w:wordWrap/>
              <w:overflowPunct/>
              <w:topLinePunct w:val="0"/>
              <w:autoSpaceDE/>
              <w:autoSpaceDN/>
              <w:bidi w:val="0"/>
              <w:adjustRightInd/>
              <w:snapToGrid w:val="0"/>
              <w:jc w:val="center"/>
              <w:rPr>
                <w:rFonts w:hint="eastAsia" w:ascii="宋体" w:eastAsia="宋体"/>
                <w:color w:val="000000"/>
                <w:szCs w:val="21"/>
                <w:lang w:eastAsia="zh-CN"/>
              </w:rPr>
            </w:pPr>
          </w:p>
        </w:tc>
        <w:tc>
          <w:tcPr>
            <w:tcW w:w="1305" w:type="dxa"/>
            <w:vMerge w:val="continue"/>
            <w:vAlign w:val="center"/>
          </w:tcPr>
          <w:p>
            <w:pPr>
              <w:keepNext w:val="0"/>
              <w:keepLines w:val="0"/>
              <w:pageBreakBefore w:val="0"/>
              <w:widowControl/>
              <w:kinsoku/>
              <w:wordWrap/>
              <w:overflowPunct/>
              <w:topLinePunct w:val="0"/>
              <w:autoSpaceDE/>
              <w:autoSpaceDN/>
              <w:bidi w:val="0"/>
              <w:adjustRightInd/>
              <w:jc w:val="center"/>
              <w:textAlignment w:val="center"/>
              <w:rPr>
                <w:rFonts w:hint="eastAsia" w:ascii="宋体" w:hAnsi="宋体" w:cs="方正仿宋_GBK"/>
                <w:kern w:val="0"/>
                <w:szCs w:val="21"/>
                <w:lang w:eastAsia="zh-CN"/>
              </w:rPr>
            </w:pPr>
          </w:p>
        </w:tc>
        <w:tc>
          <w:tcPr>
            <w:tcW w:w="2250" w:type="dxa"/>
            <w:vAlign w:val="center"/>
          </w:tcPr>
          <w:p>
            <w:pPr>
              <w:keepNext w:val="0"/>
              <w:keepLines w:val="0"/>
              <w:pageBreakBefore w:val="0"/>
              <w:widowControl/>
              <w:kinsoku/>
              <w:wordWrap/>
              <w:overflowPunct/>
              <w:topLinePunct w:val="0"/>
              <w:autoSpaceDE/>
              <w:autoSpaceDN/>
              <w:bidi w:val="0"/>
              <w:adjustRightInd/>
              <w:jc w:val="center"/>
              <w:textAlignment w:val="center"/>
              <w:rPr>
                <w:rFonts w:hint="eastAsia" w:ascii="宋体" w:hAnsi="Times New Roman" w:eastAsia="宋体" w:cs="Times New Roman"/>
                <w:kern w:val="2"/>
                <w:sz w:val="21"/>
                <w:szCs w:val="21"/>
                <w:lang w:val="en-US" w:eastAsia="zh-CN" w:bidi="ar-SA"/>
              </w:rPr>
            </w:pPr>
            <w:r>
              <w:rPr>
                <w:rFonts w:hint="eastAsia" w:ascii="宋体" w:hAnsi="宋体" w:cs="方正仿宋_GBK"/>
                <w:kern w:val="0"/>
                <w:szCs w:val="21"/>
              </w:rPr>
              <w:t>汞</w:t>
            </w:r>
          </w:p>
        </w:tc>
        <w:tc>
          <w:tcPr>
            <w:tcW w:w="4257" w:type="dxa"/>
            <w:vAlign w:val="center"/>
          </w:tcPr>
          <w:p>
            <w:pPr>
              <w:snapToGrid w:val="0"/>
              <w:jc w:val="center"/>
              <w:rPr>
                <w:rFonts w:hint="eastAsia" w:ascii="宋体" w:hAnsi="Times New Roman" w:eastAsia="宋体" w:cs="Times New Roman"/>
                <w:color w:val="000000"/>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61" w:type="dxa"/>
            <w:vMerge w:val="continue"/>
            <w:vAlign w:val="center"/>
          </w:tcPr>
          <w:p>
            <w:pPr>
              <w:keepNext w:val="0"/>
              <w:keepLines w:val="0"/>
              <w:pageBreakBefore w:val="0"/>
              <w:widowControl/>
              <w:kinsoku/>
              <w:wordWrap/>
              <w:overflowPunct/>
              <w:topLinePunct w:val="0"/>
              <w:autoSpaceDE/>
              <w:autoSpaceDN/>
              <w:bidi w:val="0"/>
              <w:adjustRightInd/>
              <w:snapToGrid w:val="0"/>
              <w:jc w:val="center"/>
              <w:rPr>
                <w:rFonts w:hint="eastAsia" w:ascii="宋体" w:eastAsia="宋体"/>
                <w:color w:val="000000"/>
                <w:szCs w:val="21"/>
                <w:lang w:eastAsia="zh-CN"/>
              </w:rPr>
            </w:pPr>
          </w:p>
        </w:tc>
        <w:tc>
          <w:tcPr>
            <w:tcW w:w="1305" w:type="dxa"/>
            <w:vMerge w:val="continue"/>
            <w:vAlign w:val="center"/>
          </w:tcPr>
          <w:p>
            <w:pPr>
              <w:keepNext w:val="0"/>
              <w:keepLines w:val="0"/>
              <w:pageBreakBefore w:val="0"/>
              <w:widowControl/>
              <w:kinsoku/>
              <w:wordWrap/>
              <w:overflowPunct/>
              <w:topLinePunct w:val="0"/>
              <w:autoSpaceDE/>
              <w:autoSpaceDN/>
              <w:bidi w:val="0"/>
              <w:adjustRightInd/>
              <w:jc w:val="center"/>
              <w:textAlignment w:val="center"/>
              <w:rPr>
                <w:rFonts w:hint="eastAsia" w:ascii="宋体" w:hAnsi="宋体" w:cs="方正仿宋_GBK"/>
                <w:kern w:val="0"/>
                <w:szCs w:val="21"/>
                <w:lang w:eastAsia="zh-CN"/>
              </w:rPr>
            </w:pPr>
          </w:p>
        </w:tc>
        <w:tc>
          <w:tcPr>
            <w:tcW w:w="2250" w:type="dxa"/>
            <w:vAlign w:val="center"/>
          </w:tcPr>
          <w:p>
            <w:pPr>
              <w:keepNext w:val="0"/>
              <w:keepLines w:val="0"/>
              <w:pageBreakBefore w:val="0"/>
              <w:widowControl/>
              <w:kinsoku/>
              <w:wordWrap/>
              <w:overflowPunct/>
              <w:topLinePunct w:val="0"/>
              <w:autoSpaceDE/>
              <w:autoSpaceDN/>
              <w:bidi w:val="0"/>
              <w:adjustRightInd/>
              <w:jc w:val="center"/>
              <w:textAlignment w:val="center"/>
              <w:rPr>
                <w:rFonts w:hint="eastAsia" w:ascii="宋体" w:hAnsi="Times New Roman" w:eastAsia="宋体" w:cs="Times New Roman"/>
                <w:kern w:val="2"/>
                <w:sz w:val="21"/>
                <w:szCs w:val="21"/>
                <w:lang w:val="en-US" w:eastAsia="zh-CN" w:bidi="ar-SA"/>
              </w:rPr>
            </w:pPr>
            <w:r>
              <w:rPr>
                <w:rFonts w:hint="eastAsia" w:ascii="宋体" w:hAnsi="宋体" w:cs="方正仿宋_GBK"/>
                <w:kern w:val="0"/>
                <w:szCs w:val="21"/>
              </w:rPr>
              <w:t>铬</w:t>
            </w:r>
          </w:p>
        </w:tc>
        <w:tc>
          <w:tcPr>
            <w:tcW w:w="4257" w:type="dxa"/>
            <w:vAlign w:val="center"/>
          </w:tcPr>
          <w:p>
            <w:pPr>
              <w:snapToGrid w:val="0"/>
              <w:jc w:val="center"/>
              <w:rPr>
                <w:rFonts w:hint="eastAsia" w:ascii="宋体" w:hAnsi="Times New Roman" w:eastAsia="宋体" w:cs="Times New Roman"/>
                <w:color w:val="000000"/>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61" w:type="dxa"/>
            <w:vMerge w:val="continue"/>
            <w:vAlign w:val="center"/>
          </w:tcPr>
          <w:p>
            <w:pPr>
              <w:snapToGrid w:val="0"/>
              <w:jc w:val="center"/>
              <w:rPr>
                <w:rFonts w:hint="eastAsia" w:ascii="宋体" w:eastAsia="宋体"/>
                <w:color w:val="000000"/>
                <w:szCs w:val="21"/>
                <w:lang w:eastAsia="zh-CN"/>
              </w:rPr>
            </w:pPr>
          </w:p>
        </w:tc>
        <w:tc>
          <w:tcPr>
            <w:tcW w:w="1305" w:type="dxa"/>
            <w:vMerge w:val="continue"/>
            <w:vAlign w:val="center"/>
          </w:tcPr>
          <w:p>
            <w:pPr>
              <w:widowControl/>
              <w:jc w:val="center"/>
              <w:textAlignment w:val="center"/>
              <w:rPr>
                <w:rFonts w:hint="eastAsia" w:ascii="宋体" w:hAnsi="宋体" w:cs="方正仿宋_GBK"/>
                <w:kern w:val="0"/>
                <w:szCs w:val="21"/>
                <w:lang w:eastAsia="zh-CN"/>
              </w:rPr>
            </w:pPr>
          </w:p>
        </w:tc>
        <w:tc>
          <w:tcPr>
            <w:tcW w:w="2250" w:type="dxa"/>
            <w:vAlign w:val="center"/>
          </w:tcPr>
          <w:p>
            <w:pPr>
              <w:widowControl/>
              <w:jc w:val="center"/>
              <w:textAlignment w:val="center"/>
              <w:rPr>
                <w:rFonts w:hint="eastAsia" w:ascii="宋体" w:hAnsi="Times New Roman" w:eastAsia="宋体" w:cs="Times New Roman"/>
                <w:kern w:val="2"/>
                <w:sz w:val="21"/>
                <w:szCs w:val="21"/>
                <w:lang w:val="en-US" w:eastAsia="zh-CN" w:bidi="ar-SA"/>
              </w:rPr>
            </w:pPr>
            <w:r>
              <w:rPr>
                <w:rFonts w:hint="eastAsia" w:ascii="宋体" w:hAnsi="宋体" w:cs="方正仿宋_GBK"/>
                <w:kern w:val="0"/>
                <w:szCs w:val="21"/>
              </w:rPr>
              <w:t>硒</w:t>
            </w:r>
          </w:p>
        </w:tc>
        <w:tc>
          <w:tcPr>
            <w:tcW w:w="4257" w:type="dxa"/>
            <w:vAlign w:val="center"/>
          </w:tcPr>
          <w:p>
            <w:pPr>
              <w:snapToGrid w:val="0"/>
              <w:jc w:val="center"/>
              <w:rPr>
                <w:rFonts w:hint="eastAsia" w:ascii="宋体" w:hAnsi="Times New Roman" w:eastAsia="宋体" w:cs="Times New Roman"/>
                <w:color w:val="000000"/>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61" w:type="dxa"/>
            <w:vMerge w:val="continue"/>
            <w:vAlign w:val="center"/>
          </w:tcPr>
          <w:p>
            <w:pPr>
              <w:snapToGrid w:val="0"/>
              <w:jc w:val="center"/>
              <w:rPr>
                <w:rFonts w:hint="eastAsia" w:ascii="宋体" w:eastAsia="宋体"/>
                <w:color w:val="000000"/>
                <w:szCs w:val="21"/>
                <w:lang w:eastAsia="zh-CN"/>
              </w:rPr>
            </w:pPr>
          </w:p>
        </w:tc>
        <w:tc>
          <w:tcPr>
            <w:tcW w:w="1305" w:type="dxa"/>
            <w:vMerge w:val="continue"/>
            <w:vAlign w:val="center"/>
          </w:tcPr>
          <w:p>
            <w:pPr>
              <w:widowControl/>
              <w:jc w:val="center"/>
              <w:textAlignment w:val="center"/>
              <w:rPr>
                <w:rFonts w:hint="eastAsia" w:ascii="宋体" w:hAnsi="宋体" w:cs="方正仿宋_GBK"/>
                <w:kern w:val="0"/>
                <w:szCs w:val="21"/>
                <w:lang w:eastAsia="zh-CN"/>
              </w:rPr>
            </w:pPr>
          </w:p>
        </w:tc>
        <w:tc>
          <w:tcPr>
            <w:tcW w:w="2250" w:type="dxa"/>
            <w:vAlign w:val="center"/>
          </w:tcPr>
          <w:p>
            <w:pPr>
              <w:widowControl/>
              <w:jc w:val="center"/>
              <w:textAlignment w:val="center"/>
              <w:rPr>
                <w:rFonts w:hint="eastAsia" w:ascii="宋体" w:hAnsi="Times New Roman" w:eastAsia="宋体" w:cs="Times New Roman"/>
                <w:kern w:val="2"/>
                <w:sz w:val="21"/>
                <w:szCs w:val="21"/>
                <w:lang w:val="en-US" w:eastAsia="zh-CN" w:bidi="ar-SA"/>
              </w:rPr>
            </w:pPr>
            <w:r>
              <w:rPr>
                <w:rFonts w:hint="eastAsia" w:ascii="宋体" w:hAnsi="宋体" w:cs="方正仿宋_GBK"/>
                <w:kern w:val="0"/>
                <w:szCs w:val="21"/>
              </w:rPr>
              <w:t>砷</w:t>
            </w:r>
          </w:p>
        </w:tc>
        <w:tc>
          <w:tcPr>
            <w:tcW w:w="4257" w:type="dxa"/>
            <w:vAlign w:val="center"/>
          </w:tcPr>
          <w:p>
            <w:pPr>
              <w:snapToGrid w:val="0"/>
              <w:jc w:val="center"/>
              <w:rPr>
                <w:rFonts w:hint="eastAsia" w:ascii="宋体" w:hAnsi="Times New Roman" w:eastAsia="宋体" w:cs="Times New Roman"/>
                <w:color w:val="000000"/>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61" w:type="dxa"/>
            <w:vMerge w:val="continue"/>
            <w:vAlign w:val="center"/>
          </w:tcPr>
          <w:p>
            <w:pPr>
              <w:snapToGrid w:val="0"/>
              <w:jc w:val="center"/>
              <w:rPr>
                <w:rFonts w:hint="eastAsia" w:ascii="宋体" w:eastAsia="宋体"/>
                <w:color w:val="000000"/>
                <w:szCs w:val="21"/>
                <w:lang w:eastAsia="zh-CN"/>
              </w:rPr>
            </w:pPr>
          </w:p>
        </w:tc>
        <w:tc>
          <w:tcPr>
            <w:tcW w:w="1305" w:type="dxa"/>
            <w:vMerge w:val="continue"/>
            <w:vAlign w:val="center"/>
          </w:tcPr>
          <w:p>
            <w:pPr>
              <w:widowControl/>
              <w:jc w:val="center"/>
              <w:textAlignment w:val="center"/>
              <w:rPr>
                <w:rFonts w:hint="eastAsia" w:ascii="宋体" w:hAnsi="宋体" w:cs="方正仿宋_GBK"/>
                <w:kern w:val="0"/>
                <w:szCs w:val="21"/>
                <w:lang w:eastAsia="zh-CN"/>
              </w:rPr>
            </w:pPr>
          </w:p>
        </w:tc>
        <w:tc>
          <w:tcPr>
            <w:tcW w:w="2250" w:type="dxa"/>
            <w:vAlign w:val="center"/>
          </w:tcPr>
          <w:p>
            <w:pPr>
              <w:widowControl/>
              <w:jc w:val="center"/>
              <w:textAlignment w:val="center"/>
              <w:rPr>
                <w:rFonts w:hint="eastAsia" w:ascii="宋体" w:hAnsi="Times New Roman" w:eastAsia="宋体" w:cs="Times New Roman"/>
                <w:kern w:val="2"/>
                <w:sz w:val="21"/>
                <w:szCs w:val="21"/>
                <w:lang w:val="en-US" w:eastAsia="zh-CN" w:bidi="ar-SA"/>
              </w:rPr>
            </w:pPr>
            <w:r>
              <w:rPr>
                <w:rFonts w:hint="eastAsia" w:ascii="宋体" w:hAnsi="宋体" w:cs="方正仿宋_GBK"/>
                <w:kern w:val="0"/>
                <w:szCs w:val="21"/>
              </w:rPr>
              <w:t>钡</w:t>
            </w:r>
          </w:p>
        </w:tc>
        <w:tc>
          <w:tcPr>
            <w:tcW w:w="4257" w:type="dxa"/>
            <w:vAlign w:val="center"/>
          </w:tcPr>
          <w:p>
            <w:pPr>
              <w:snapToGrid w:val="0"/>
              <w:jc w:val="center"/>
              <w:rPr>
                <w:rFonts w:hint="eastAsia" w:ascii="宋体" w:hAnsi="Times New Roman" w:eastAsia="宋体" w:cs="Times New Roman"/>
                <w:color w:val="000000"/>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61" w:type="dxa"/>
            <w:vMerge w:val="continue"/>
            <w:vAlign w:val="center"/>
          </w:tcPr>
          <w:p>
            <w:pPr>
              <w:snapToGrid w:val="0"/>
              <w:jc w:val="center"/>
              <w:rPr>
                <w:rFonts w:hint="eastAsia" w:ascii="宋体" w:eastAsia="宋体"/>
                <w:color w:val="000000"/>
                <w:szCs w:val="21"/>
                <w:lang w:eastAsia="zh-CN"/>
              </w:rPr>
            </w:pPr>
          </w:p>
        </w:tc>
        <w:tc>
          <w:tcPr>
            <w:tcW w:w="1305" w:type="dxa"/>
            <w:vMerge w:val="continue"/>
            <w:vAlign w:val="center"/>
          </w:tcPr>
          <w:p>
            <w:pPr>
              <w:widowControl/>
              <w:jc w:val="center"/>
              <w:textAlignment w:val="center"/>
              <w:rPr>
                <w:rFonts w:hint="eastAsia" w:ascii="宋体" w:hAnsi="Times New Roman" w:eastAsia="宋体" w:cs="Times New Roman"/>
                <w:kern w:val="2"/>
                <w:sz w:val="21"/>
                <w:szCs w:val="21"/>
                <w:lang w:val="en-US" w:eastAsia="zh-CN" w:bidi="ar-SA"/>
              </w:rPr>
            </w:pPr>
          </w:p>
        </w:tc>
        <w:tc>
          <w:tcPr>
            <w:tcW w:w="2250" w:type="dxa"/>
            <w:vAlign w:val="center"/>
          </w:tcPr>
          <w:p>
            <w:pPr>
              <w:widowControl/>
              <w:jc w:val="center"/>
              <w:textAlignment w:val="center"/>
              <w:rPr>
                <w:rFonts w:hint="eastAsia" w:ascii="宋体" w:hAnsi="Times New Roman" w:eastAsia="宋体" w:cs="Times New Roman"/>
                <w:kern w:val="2"/>
                <w:sz w:val="21"/>
                <w:szCs w:val="21"/>
                <w:lang w:val="en-US" w:eastAsia="zh-CN" w:bidi="ar-SA"/>
              </w:rPr>
            </w:pPr>
            <w:r>
              <w:rPr>
                <w:rFonts w:hint="eastAsia" w:ascii="宋体" w:hAnsi="宋体" w:cs="方正仿宋_GBK"/>
                <w:kern w:val="0"/>
                <w:szCs w:val="21"/>
              </w:rPr>
              <w:t>锑</w:t>
            </w:r>
          </w:p>
        </w:tc>
        <w:tc>
          <w:tcPr>
            <w:tcW w:w="4257" w:type="dxa"/>
            <w:vAlign w:val="center"/>
          </w:tcPr>
          <w:p>
            <w:pPr>
              <w:snapToGrid w:val="0"/>
              <w:jc w:val="center"/>
              <w:rPr>
                <w:rFonts w:hint="eastAsia" w:ascii="宋体" w:hAnsi="Times New Roman" w:eastAsia="宋体" w:cs="Times New Roman"/>
                <w:color w:val="000000"/>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61" w:type="dxa"/>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default" w:ascii="宋体" w:hAnsi="宋体" w:cs="方正仿宋_GBK"/>
                <w:kern w:val="0"/>
                <w:szCs w:val="21"/>
                <w:lang w:val="en-US" w:eastAsia="zh-CN"/>
              </w:rPr>
            </w:pPr>
            <w:r>
              <w:rPr>
                <w:rFonts w:hint="eastAsia" w:ascii="宋体" w:hAnsi="宋体" w:cs="方正仿宋_GBK"/>
                <w:kern w:val="0"/>
                <w:szCs w:val="21"/>
                <w:lang w:val="en-US" w:eastAsia="zh-CN"/>
              </w:rPr>
              <w:t>2</w:t>
            </w:r>
          </w:p>
        </w:tc>
        <w:tc>
          <w:tcPr>
            <w:tcW w:w="3555"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方正仿宋_GBK"/>
                <w:kern w:val="0"/>
                <w:szCs w:val="21"/>
                <w:lang w:val="en-US" w:eastAsia="zh-CN"/>
              </w:rPr>
            </w:pPr>
            <w:r>
              <w:rPr>
                <w:rFonts w:hint="eastAsia" w:ascii="宋体" w:hAnsi="宋体" w:cs="方正仿宋_GBK"/>
                <w:kern w:val="0"/>
                <w:szCs w:val="21"/>
                <w:lang w:eastAsia="zh-CN"/>
              </w:rPr>
              <w:t>笔</w:t>
            </w:r>
            <w:r>
              <w:rPr>
                <w:rFonts w:hint="eastAsia" w:ascii="宋体" w:hAnsi="宋体" w:cs="方正仿宋_GBK"/>
                <w:kern w:val="0"/>
                <w:szCs w:val="21"/>
                <w:lang w:val="en-US" w:eastAsia="zh-CN"/>
              </w:rPr>
              <w:t>套安全</w:t>
            </w:r>
          </w:p>
        </w:tc>
        <w:tc>
          <w:tcPr>
            <w:tcW w:w="4257" w:type="dxa"/>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方正仿宋_GBK"/>
                <w:kern w:val="0"/>
                <w:szCs w:val="21"/>
                <w:lang w:val="en-US" w:eastAsia="zh-CN"/>
              </w:rPr>
            </w:pPr>
            <w:r>
              <w:rPr>
                <w:rFonts w:hint="eastAsia" w:ascii="宋体" w:hAnsi="宋体" w:cs="方正仿宋_GBK"/>
                <w:kern w:val="0"/>
                <w:szCs w:val="21"/>
                <w:lang w:val="en-US" w:eastAsia="zh-CN"/>
              </w:rPr>
              <w:t>GB 21027-2020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61" w:type="dxa"/>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default" w:ascii="宋体" w:hAnsi="宋体" w:cs="方正仿宋_GBK"/>
                <w:kern w:val="0"/>
                <w:szCs w:val="21"/>
                <w:lang w:val="en-US" w:eastAsia="zh-CN"/>
              </w:rPr>
            </w:pPr>
            <w:r>
              <w:rPr>
                <w:rFonts w:hint="eastAsia" w:ascii="宋体" w:hAnsi="宋体" w:cs="方正仿宋_GBK"/>
                <w:kern w:val="0"/>
                <w:szCs w:val="21"/>
                <w:lang w:val="en-US" w:eastAsia="zh-CN"/>
              </w:rPr>
              <w:t>3</w:t>
            </w:r>
          </w:p>
        </w:tc>
        <w:tc>
          <w:tcPr>
            <w:tcW w:w="3555"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方正仿宋_GBK"/>
                <w:kern w:val="0"/>
                <w:szCs w:val="21"/>
                <w:lang w:val="en-US" w:eastAsia="zh-CN"/>
              </w:rPr>
            </w:pPr>
            <w:r>
              <w:rPr>
                <w:rFonts w:hint="eastAsia" w:ascii="宋体" w:hAnsi="宋体" w:cs="方正仿宋_GBK"/>
                <w:kern w:val="0"/>
                <w:szCs w:val="21"/>
                <w:lang w:val="en-US" w:eastAsia="zh-CN"/>
              </w:rPr>
              <w:t>软化点</w:t>
            </w:r>
          </w:p>
        </w:tc>
        <w:tc>
          <w:tcPr>
            <w:tcW w:w="4257" w:type="dxa"/>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方正仿宋_GBK"/>
                <w:kern w:val="0"/>
                <w:szCs w:val="21"/>
                <w:lang w:val="en-US" w:eastAsia="zh-CN"/>
              </w:rPr>
            </w:pPr>
            <w:r>
              <w:rPr>
                <w:rFonts w:hint="eastAsia" w:ascii="宋体" w:hAnsi="宋体" w:cs="方正仿宋_GBK"/>
                <w:kern w:val="0"/>
                <w:szCs w:val="21"/>
                <w:lang w:val="en-US" w:eastAsia="zh-CN"/>
              </w:rPr>
              <w:t>QB/T 1336-2020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61" w:type="dxa"/>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default" w:ascii="宋体" w:hAnsi="宋体" w:cs="方正仿宋_GBK"/>
                <w:kern w:val="0"/>
                <w:szCs w:val="21"/>
                <w:lang w:val="en-US" w:eastAsia="zh-CN"/>
              </w:rPr>
            </w:pPr>
            <w:r>
              <w:rPr>
                <w:rFonts w:hint="eastAsia" w:ascii="宋体" w:hAnsi="宋体" w:cs="方正仿宋_GBK"/>
                <w:kern w:val="0"/>
                <w:szCs w:val="21"/>
                <w:lang w:val="en-US" w:eastAsia="zh-CN"/>
              </w:rPr>
              <w:t>4</w:t>
            </w:r>
          </w:p>
        </w:tc>
        <w:tc>
          <w:tcPr>
            <w:tcW w:w="3555"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方正仿宋_GBK"/>
                <w:kern w:val="0"/>
                <w:szCs w:val="21"/>
                <w:lang w:val="en-US" w:eastAsia="zh-CN"/>
              </w:rPr>
            </w:pPr>
            <w:r>
              <w:rPr>
                <w:rFonts w:hint="eastAsia" w:ascii="宋体" w:hAnsi="宋体" w:cs="方正仿宋_GBK"/>
                <w:kern w:val="0"/>
                <w:szCs w:val="21"/>
                <w:lang w:eastAsia="zh-CN"/>
              </w:rPr>
              <w:t>抗折力</w:t>
            </w:r>
          </w:p>
        </w:tc>
        <w:tc>
          <w:tcPr>
            <w:tcW w:w="4257" w:type="dxa"/>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方正仿宋_GBK"/>
                <w:kern w:val="0"/>
                <w:szCs w:val="21"/>
                <w:lang w:val="en-US" w:eastAsia="zh-CN"/>
              </w:rPr>
            </w:pPr>
            <w:r>
              <w:rPr>
                <w:rFonts w:hint="eastAsia" w:ascii="宋体" w:hAnsi="宋体" w:cs="方正仿宋_GBK"/>
                <w:kern w:val="0"/>
                <w:szCs w:val="21"/>
                <w:lang w:val="en-US" w:eastAsia="zh-CN"/>
              </w:rPr>
              <w:t>QB/T 1336-2020</w:t>
            </w:r>
          </w:p>
        </w:tc>
      </w:tr>
    </w:tbl>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Times New Roman" w:hAnsi="Times New Roman"/>
          <w:color w:val="000000"/>
          <w:szCs w:val="21"/>
        </w:rPr>
      </w:pPr>
      <w:r>
        <w:rPr>
          <w:rFonts w:ascii="Times New Roman" w:hAnsi="Times New Roman"/>
          <w:color w:val="000000"/>
          <w:szCs w:val="21"/>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Times New Roman" w:hAnsi="Times New Roman"/>
          <w:color w:val="000000"/>
          <w:szCs w:val="21"/>
        </w:rPr>
      </w:pPr>
      <w:r>
        <w:rPr>
          <w:rFonts w:hint="eastAsia" w:ascii="宋体" w:hAnsi="宋体"/>
          <w:color w:val="000000"/>
          <w:szCs w:val="21"/>
        </w:rPr>
        <w:t>凡是注日期的文件，其随后所有的修改单（不包括勘误的内容）或修订版不适用于本细则。</w:t>
      </w:r>
      <w:r>
        <w:rPr>
          <w:rFonts w:ascii="Times New Roman" w:hAnsi="Times New Roman"/>
          <w:color w:val="000000"/>
          <w:szCs w:val="21"/>
        </w:rPr>
        <w:t>凡是不注日期的文件，其最新版本适用于本细则。</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Times New Roman" w:hAnsi="Times New Roman"/>
          <w:color w:val="000000"/>
          <w:szCs w:val="21"/>
        </w:rPr>
      </w:pPr>
    </w:p>
    <w:p>
      <w:pPr>
        <w:spacing w:line="360" w:lineRule="auto"/>
        <w:rPr>
          <w:rFonts w:ascii="黑体" w:hAnsi="黑体" w:eastAsia="黑体"/>
          <w:color w:val="000000"/>
          <w:szCs w:val="21"/>
        </w:rPr>
      </w:pPr>
      <w:r>
        <w:rPr>
          <w:rFonts w:ascii="黑体" w:hAnsi="黑体" w:eastAsia="黑体"/>
          <w:color w:val="000000"/>
          <w:szCs w:val="21"/>
        </w:rPr>
        <w:t xml:space="preserve">3 </w:t>
      </w:r>
      <w:r>
        <w:rPr>
          <w:rFonts w:hint="eastAsia" w:ascii="黑体" w:hAnsi="黑体" w:eastAsia="黑体"/>
          <w:color w:val="000000"/>
          <w:szCs w:val="21"/>
        </w:rPr>
        <w:t>判定规则</w:t>
      </w:r>
    </w:p>
    <w:p>
      <w:pPr>
        <w:snapToGrid w:val="0"/>
        <w:spacing w:line="440" w:lineRule="exact"/>
        <w:rPr>
          <w:rFonts w:hint="eastAsia" w:ascii="宋体" w:hAnsi="宋体"/>
          <w:color w:val="000000"/>
          <w:szCs w:val="21"/>
        </w:rPr>
      </w:pPr>
      <w:r>
        <w:rPr>
          <w:rFonts w:ascii="宋体" w:hAnsi="宋体"/>
          <w:color w:val="000000"/>
          <w:szCs w:val="21"/>
        </w:rPr>
        <w:t>3.1</w:t>
      </w:r>
      <w:r>
        <w:rPr>
          <w:rFonts w:hint="eastAsia" w:ascii="宋体" w:hAnsi="宋体"/>
          <w:color w:val="000000"/>
          <w:szCs w:val="21"/>
        </w:rPr>
        <w:t>依据标准</w:t>
      </w:r>
    </w:p>
    <w:p>
      <w:pPr>
        <w:snapToGrid w:val="0"/>
        <w:spacing w:line="440" w:lineRule="exact"/>
        <w:ind w:firstLine="420" w:firstLineChars="200"/>
        <w:rPr>
          <w:rFonts w:hint="eastAsia" w:ascii="宋体" w:hAnsi="宋体"/>
          <w:color w:val="000000"/>
          <w:szCs w:val="21"/>
          <w:lang w:val="en-US" w:eastAsia="zh-CN"/>
        </w:rPr>
      </w:pPr>
      <w:r>
        <w:rPr>
          <w:rFonts w:hint="eastAsia" w:ascii="宋体" w:hAnsi="宋体"/>
          <w:color w:val="000000"/>
          <w:szCs w:val="21"/>
          <w:lang w:val="en-US" w:eastAsia="zh-CN"/>
        </w:rPr>
        <w:t>QB/T 2586-2014 油画棒</w:t>
      </w:r>
    </w:p>
    <w:p>
      <w:pPr>
        <w:snapToGrid w:val="0"/>
        <w:spacing w:line="440" w:lineRule="exact"/>
        <w:ind w:firstLine="420" w:firstLineChars="200"/>
        <w:rPr>
          <w:rFonts w:hint="default" w:ascii="宋体" w:hAnsi="宋体"/>
          <w:color w:val="000000"/>
          <w:szCs w:val="21"/>
          <w:lang w:val="en-US" w:eastAsia="zh-CN"/>
        </w:rPr>
      </w:pPr>
      <w:r>
        <w:rPr>
          <w:rFonts w:hint="eastAsia" w:ascii="宋体" w:hAnsi="宋体"/>
          <w:color w:val="000000"/>
          <w:szCs w:val="21"/>
          <w:lang w:val="en-US" w:eastAsia="zh-CN"/>
        </w:rPr>
        <w:t>QB/T 1336-2020 蜡笔</w:t>
      </w:r>
    </w:p>
    <w:p>
      <w:pPr>
        <w:snapToGrid w:val="0"/>
        <w:spacing w:line="440" w:lineRule="exact"/>
        <w:ind w:firstLine="420" w:firstLineChars="200"/>
        <w:rPr>
          <w:rFonts w:hint="eastAsia"/>
          <w:szCs w:val="21"/>
        </w:rPr>
      </w:pPr>
      <w:r>
        <w:rPr>
          <w:rFonts w:ascii="宋体" w:hAnsi="宋体"/>
          <w:color w:val="000000"/>
          <w:szCs w:val="21"/>
        </w:rPr>
        <w:t>GB 21027-20</w:t>
      </w:r>
      <w:r>
        <w:rPr>
          <w:rFonts w:hint="eastAsia" w:ascii="宋体" w:hAnsi="宋体"/>
          <w:color w:val="000000"/>
          <w:szCs w:val="21"/>
          <w:lang w:val="en-US" w:eastAsia="zh-CN"/>
        </w:rPr>
        <w:t>20</w:t>
      </w:r>
      <w:r>
        <w:rPr>
          <w:rFonts w:ascii="宋体" w:hAnsi="宋体"/>
          <w:color w:val="000000"/>
          <w:szCs w:val="21"/>
        </w:rPr>
        <w:t xml:space="preserve"> </w:t>
      </w:r>
      <w:r>
        <w:rPr>
          <w:rFonts w:hint="eastAsia"/>
          <w:szCs w:val="21"/>
        </w:rPr>
        <w:t>学生用品的安全通用要求</w:t>
      </w:r>
    </w:p>
    <w:p>
      <w:pPr>
        <w:snapToGrid w:val="0"/>
        <w:spacing w:line="440" w:lineRule="exact"/>
        <w:ind w:firstLine="420" w:firstLineChars="200"/>
        <w:rPr>
          <w:rFonts w:ascii="宋体"/>
          <w:color w:val="000000"/>
          <w:szCs w:val="21"/>
        </w:rPr>
      </w:pPr>
      <w:r>
        <w:rPr>
          <w:rFonts w:hint="eastAsia" w:ascii="宋体" w:hAnsi="宋体"/>
          <w:color w:val="000000"/>
          <w:szCs w:val="21"/>
        </w:rPr>
        <w:t>相关的法律、行政法规、部门规章、规范性文件</w:t>
      </w:r>
    </w:p>
    <w:p>
      <w:pPr>
        <w:snapToGrid w:val="0"/>
        <w:spacing w:line="440" w:lineRule="exact"/>
        <w:ind w:firstLine="420" w:firstLineChars="200"/>
        <w:rPr>
          <w:rFonts w:ascii="宋体"/>
          <w:color w:val="000000"/>
          <w:szCs w:val="21"/>
        </w:rPr>
      </w:pPr>
      <w:r>
        <w:rPr>
          <w:rFonts w:hint="eastAsia" w:ascii="宋体" w:hAnsi="宋体"/>
          <w:color w:val="000000"/>
          <w:szCs w:val="21"/>
        </w:rPr>
        <w:t>现行有效的企业标准、团体标准、地方标准及产品明示质量要求</w:t>
      </w:r>
    </w:p>
    <w:p>
      <w:pPr>
        <w:snapToGrid w:val="0"/>
        <w:spacing w:line="440" w:lineRule="exact"/>
        <w:rPr>
          <w:rFonts w:hint="eastAsia" w:ascii="宋体" w:hAnsi="宋体"/>
          <w:color w:val="000000"/>
          <w:szCs w:val="21"/>
        </w:rPr>
      </w:pPr>
      <w:r>
        <w:rPr>
          <w:rFonts w:ascii="宋体" w:hAnsi="宋体"/>
          <w:color w:val="000000"/>
          <w:szCs w:val="21"/>
        </w:rPr>
        <w:t>3.2</w:t>
      </w:r>
      <w:r>
        <w:rPr>
          <w:rFonts w:hint="eastAsia" w:ascii="宋体" w:hAnsi="宋体"/>
          <w:color w:val="000000"/>
          <w:szCs w:val="21"/>
        </w:rPr>
        <w:t>判定原则</w:t>
      </w:r>
    </w:p>
    <w:p>
      <w:pPr>
        <w:snapToGrid w:val="0"/>
        <w:spacing w:line="440" w:lineRule="exact"/>
        <w:rPr>
          <w:rFonts w:hint="eastAsia" w:ascii="宋体" w:hAnsi="宋体"/>
          <w:color w:val="000000"/>
          <w:szCs w:val="21"/>
          <w:highlight w:val="none"/>
          <w:lang w:val="en-US" w:eastAsia="zh-CN"/>
        </w:rPr>
      </w:pPr>
      <w:r>
        <w:rPr>
          <w:rFonts w:hint="eastAsia" w:ascii="宋体" w:hAnsi="宋体"/>
          <w:color w:val="000000"/>
          <w:szCs w:val="21"/>
          <w:highlight w:val="none"/>
          <w:lang w:val="en-US" w:eastAsia="zh-CN"/>
        </w:rPr>
        <w:t>3.2.1单项判定</w:t>
      </w:r>
    </w:p>
    <w:p>
      <w:pPr>
        <w:snapToGrid w:val="0"/>
        <w:spacing w:line="440" w:lineRule="exact"/>
        <w:ind w:firstLine="420" w:firstLineChars="200"/>
        <w:rPr>
          <w:rFonts w:hint="eastAsia" w:ascii="宋体" w:hAnsi="宋体" w:cs="宋体"/>
          <w:sz w:val="21"/>
          <w:szCs w:val="21"/>
          <w:highlight w:val="none"/>
          <w:lang w:eastAsia="zh-CN"/>
        </w:rPr>
      </w:pPr>
      <w:r>
        <w:rPr>
          <w:rFonts w:hint="eastAsia" w:ascii="宋体" w:hAnsi="宋体" w:cs="宋体"/>
          <w:sz w:val="21"/>
          <w:szCs w:val="21"/>
          <w:highlight w:val="none"/>
          <w:lang w:eastAsia="zh-CN"/>
        </w:rPr>
        <w:t>软化点、抗折力项目抽样检验方案为（n,</w:t>
      </w:r>
      <w:r>
        <w:rPr>
          <w:rFonts w:hint="eastAsia" w:ascii="宋体" w:hAnsi="宋体" w:cs="宋体"/>
          <w:sz w:val="21"/>
          <w:szCs w:val="21"/>
          <w:highlight w:val="none"/>
          <w:lang w:val="en-US" w:eastAsia="zh-CN"/>
        </w:rPr>
        <w:t>Ac,Rc</w:t>
      </w:r>
      <w:r>
        <w:rPr>
          <w:rFonts w:hint="eastAsia" w:ascii="宋体" w:hAnsi="宋体" w:cs="宋体"/>
          <w:sz w:val="21"/>
          <w:szCs w:val="21"/>
          <w:highlight w:val="none"/>
          <w:lang w:eastAsia="zh-CN"/>
        </w:rPr>
        <w:t>）=(</w:t>
      </w:r>
      <w:r>
        <w:rPr>
          <w:rFonts w:hint="eastAsia" w:ascii="宋体" w:hAnsi="宋体" w:cs="宋体"/>
          <w:sz w:val="21"/>
          <w:szCs w:val="21"/>
          <w:highlight w:val="none"/>
          <w:lang w:val="en-US" w:eastAsia="zh-CN"/>
        </w:rPr>
        <w:t>5</w:t>
      </w:r>
      <w:r>
        <w:rPr>
          <w:rFonts w:hint="eastAsia" w:ascii="宋体" w:hAnsi="宋体" w:cs="宋体"/>
          <w:sz w:val="21"/>
          <w:szCs w:val="21"/>
          <w:highlight w:val="none"/>
          <w:lang w:eastAsia="zh-CN"/>
        </w:rPr>
        <w:t>,</w:t>
      </w:r>
      <w:r>
        <w:rPr>
          <w:rFonts w:hint="eastAsia" w:ascii="宋体" w:hAnsi="宋体" w:cs="宋体"/>
          <w:sz w:val="21"/>
          <w:szCs w:val="21"/>
          <w:highlight w:val="none"/>
          <w:lang w:val="en-US" w:eastAsia="zh-CN"/>
        </w:rPr>
        <w:t>0,1</w:t>
      </w:r>
      <w:r>
        <w:rPr>
          <w:rFonts w:hint="eastAsia" w:ascii="宋体" w:hAnsi="宋体" w:cs="宋体"/>
          <w:sz w:val="21"/>
          <w:szCs w:val="21"/>
          <w:highlight w:val="none"/>
          <w:lang w:eastAsia="zh-CN"/>
        </w:rPr>
        <w:t>)，即检验</w:t>
      </w:r>
      <w:r>
        <w:rPr>
          <w:rFonts w:hint="eastAsia" w:ascii="宋体" w:hAnsi="宋体" w:cs="宋体"/>
          <w:sz w:val="21"/>
          <w:szCs w:val="21"/>
          <w:highlight w:val="none"/>
          <w:lang w:val="en-US" w:eastAsia="zh-CN"/>
        </w:rPr>
        <w:t>5支样品</w:t>
      </w:r>
      <w:r>
        <w:rPr>
          <w:rFonts w:hint="eastAsia" w:ascii="宋体" w:hAnsi="宋体" w:cs="宋体"/>
          <w:sz w:val="21"/>
          <w:szCs w:val="21"/>
          <w:highlight w:val="none"/>
          <w:lang w:eastAsia="zh-CN"/>
        </w:rPr>
        <w:t>，允许有</w:t>
      </w:r>
      <w:r>
        <w:rPr>
          <w:rFonts w:hint="eastAsia" w:ascii="宋体" w:hAnsi="宋体" w:cs="宋体"/>
          <w:sz w:val="21"/>
          <w:szCs w:val="21"/>
          <w:highlight w:val="none"/>
          <w:lang w:val="en-US" w:eastAsia="zh-CN"/>
        </w:rPr>
        <w:t>0支样品</w:t>
      </w:r>
      <w:r>
        <w:rPr>
          <w:rFonts w:hint="eastAsia" w:ascii="宋体" w:hAnsi="宋体" w:cs="宋体"/>
          <w:sz w:val="21"/>
          <w:szCs w:val="21"/>
          <w:highlight w:val="none"/>
          <w:lang w:eastAsia="zh-CN"/>
        </w:rPr>
        <w:t>的测量结果超出</w:t>
      </w:r>
      <w:r>
        <w:rPr>
          <w:rFonts w:ascii="宋体" w:hAnsi="宋体" w:eastAsia="宋体" w:cs="宋体"/>
          <w:sz w:val="21"/>
          <w:szCs w:val="21"/>
          <w:highlight w:val="none"/>
        </w:rPr>
        <w:t>标准规定的偏差范围，当有</w:t>
      </w:r>
      <w:r>
        <w:rPr>
          <w:rFonts w:hint="eastAsia" w:ascii="宋体" w:hAnsi="宋体" w:cs="宋体"/>
          <w:sz w:val="21"/>
          <w:szCs w:val="21"/>
          <w:highlight w:val="none"/>
          <w:lang w:val="en-US" w:eastAsia="zh-CN"/>
        </w:rPr>
        <w:t>1</w:t>
      </w:r>
      <w:r>
        <w:rPr>
          <w:rFonts w:hint="eastAsia" w:ascii="宋体" w:hAnsi="宋体" w:cs="宋体"/>
          <w:sz w:val="21"/>
          <w:szCs w:val="21"/>
          <w:highlight w:val="none"/>
          <w:lang w:eastAsia="zh-CN"/>
        </w:rPr>
        <w:t>支</w:t>
      </w:r>
      <w:r>
        <w:rPr>
          <w:rFonts w:ascii="宋体" w:hAnsi="宋体" w:eastAsia="宋体" w:cs="宋体"/>
          <w:sz w:val="21"/>
          <w:szCs w:val="21"/>
          <w:highlight w:val="none"/>
        </w:rPr>
        <w:t>（含）以上</w:t>
      </w:r>
      <w:r>
        <w:rPr>
          <w:rFonts w:hint="eastAsia" w:ascii="宋体" w:hAnsi="宋体" w:cs="宋体"/>
          <w:sz w:val="21"/>
          <w:szCs w:val="21"/>
          <w:highlight w:val="none"/>
          <w:lang w:eastAsia="zh-CN"/>
        </w:rPr>
        <w:t>样品</w:t>
      </w:r>
      <w:r>
        <w:rPr>
          <w:rFonts w:ascii="宋体" w:hAnsi="宋体" w:eastAsia="宋体" w:cs="宋体"/>
          <w:sz w:val="21"/>
          <w:szCs w:val="21"/>
          <w:highlight w:val="none"/>
        </w:rPr>
        <w:t>不符合</w:t>
      </w:r>
      <w:r>
        <w:rPr>
          <w:rFonts w:hint="eastAsia" w:ascii="宋体" w:hAnsi="宋体" w:cs="宋体"/>
          <w:sz w:val="21"/>
          <w:szCs w:val="21"/>
          <w:highlight w:val="none"/>
          <w:lang w:eastAsia="zh-CN"/>
        </w:rPr>
        <w:t>标准</w:t>
      </w:r>
      <w:r>
        <w:rPr>
          <w:rFonts w:ascii="宋体" w:hAnsi="宋体" w:eastAsia="宋体" w:cs="宋体"/>
          <w:sz w:val="21"/>
          <w:szCs w:val="21"/>
          <w:highlight w:val="none"/>
        </w:rPr>
        <w:t>要求时，判定该项不合格</w:t>
      </w:r>
      <w:r>
        <w:rPr>
          <w:rFonts w:hint="eastAsia" w:ascii="宋体" w:hAnsi="宋体" w:cs="宋体"/>
          <w:sz w:val="21"/>
          <w:szCs w:val="21"/>
          <w:highlight w:val="none"/>
          <w:lang w:eastAsia="zh-CN"/>
        </w:rPr>
        <w:t>。</w:t>
      </w:r>
    </w:p>
    <w:p>
      <w:pPr>
        <w:snapToGrid w:val="0"/>
        <w:spacing w:line="440" w:lineRule="exact"/>
        <w:ind w:firstLine="420" w:firstLineChars="200"/>
        <w:rPr>
          <w:rFonts w:hint="eastAsia" w:ascii="宋体" w:hAnsi="宋体" w:eastAsia="宋体" w:cs="宋体"/>
          <w:sz w:val="21"/>
          <w:szCs w:val="21"/>
          <w:highlight w:val="none"/>
          <w:lang w:eastAsia="zh-CN"/>
        </w:rPr>
      </w:pPr>
      <w:r>
        <w:rPr>
          <w:rFonts w:hint="eastAsia" w:ascii="宋体" w:hAnsi="宋体" w:cs="宋体"/>
          <w:sz w:val="21"/>
          <w:szCs w:val="21"/>
          <w:highlight w:val="none"/>
          <w:lang w:eastAsia="zh-CN"/>
        </w:rPr>
        <w:t>当单支样品量不能满足软化点项目检测要求时，</w:t>
      </w:r>
      <w:r>
        <w:rPr>
          <w:rFonts w:ascii="宋体" w:hAnsi="宋体" w:eastAsia="宋体" w:cs="宋体"/>
          <w:sz w:val="21"/>
          <w:szCs w:val="21"/>
          <w:highlight w:val="none"/>
        </w:rPr>
        <w:t>判定该项</w:t>
      </w:r>
      <w:r>
        <w:rPr>
          <w:rFonts w:hint="eastAsia" w:ascii="宋体" w:hAnsi="宋体" w:cs="宋体"/>
          <w:sz w:val="21"/>
          <w:szCs w:val="21"/>
          <w:highlight w:val="none"/>
          <w:lang w:eastAsia="zh-CN"/>
        </w:rPr>
        <w:t>不适用。</w:t>
      </w:r>
    </w:p>
    <w:p>
      <w:pPr>
        <w:snapToGrid w:val="0"/>
        <w:spacing w:line="440" w:lineRule="exact"/>
        <w:ind w:firstLine="420" w:firstLineChars="200"/>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可迁移元素项目中任意一种元素不符合标准要求时，判定该项不合格。</w:t>
      </w:r>
    </w:p>
    <w:p>
      <w:pPr>
        <w:snapToGrid w:val="0"/>
        <w:spacing w:line="440" w:lineRule="exact"/>
        <w:ind w:firstLine="420" w:firstLineChars="200"/>
        <w:rPr>
          <w:rFonts w:hint="eastAsia" w:ascii="宋体" w:hAnsi="宋体" w:cs="宋体"/>
          <w:sz w:val="21"/>
          <w:szCs w:val="21"/>
          <w:highlight w:val="none"/>
          <w:lang w:val="en-US" w:eastAsia="zh-CN"/>
        </w:rPr>
      </w:pPr>
      <w:r>
        <w:rPr>
          <w:rFonts w:hint="eastAsia" w:ascii="宋体" w:hAnsi="宋体" w:cs="宋体"/>
          <w:color w:val="auto"/>
          <w:sz w:val="21"/>
          <w:szCs w:val="21"/>
          <w:highlight w:val="none"/>
          <w:lang w:val="en-US" w:eastAsia="zh-CN"/>
        </w:rPr>
        <w:t>有颜色划分的，任意一种颜色产品可迁移元素项目出现不合格，判定该产品不合格</w:t>
      </w:r>
      <w:r>
        <w:rPr>
          <w:rFonts w:hint="eastAsia" w:ascii="宋体" w:hAnsi="宋体" w:cs="宋体"/>
          <w:sz w:val="21"/>
          <w:szCs w:val="21"/>
          <w:highlight w:val="none"/>
          <w:lang w:val="en-US" w:eastAsia="zh-CN"/>
        </w:rPr>
        <w:t>。</w:t>
      </w:r>
    </w:p>
    <w:p>
      <w:pPr>
        <w:snapToGrid w:val="0"/>
        <w:spacing w:line="440" w:lineRule="exact"/>
        <w:rPr>
          <w:rFonts w:hint="eastAsia" w:ascii="宋体" w:hAnsi="宋体"/>
          <w:color w:val="000000"/>
          <w:szCs w:val="21"/>
          <w:highlight w:val="none"/>
        </w:rPr>
      </w:pPr>
      <w:r>
        <w:rPr>
          <w:rFonts w:hint="eastAsia" w:ascii="宋体" w:hAnsi="宋体"/>
          <w:color w:val="000000"/>
          <w:szCs w:val="21"/>
          <w:highlight w:val="none"/>
          <w:lang w:val="en-US" w:eastAsia="zh-CN"/>
        </w:rPr>
        <w:t>3.2.2综合判定</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经检验，检验项目全部合格，判定为被抽查产品</w:t>
      </w:r>
      <w:r>
        <w:rPr>
          <w:rFonts w:hint="eastAsia"/>
          <w:color w:val="000000"/>
          <w:szCs w:val="21"/>
        </w:rPr>
        <w:t>所检项目未发现不</w:t>
      </w:r>
      <w:r>
        <w:rPr>
          <w:color w:val="000000"/>
          <w:szCs w:val="21"/>
        </w:rPr>
        <w:t>合格</w:t>
      </w:r>
      <w:r>
        <w:rPr>
          <w:rFonts w:hint="eastAsia" w:ascii="宋体" w:hAnsi="宋体"/>
          <w:color w:val="000000"/>
          <w:szCs w:val="21"/>
        </w:rPr>
        <w:t>；检验项目中任一项或一项以上不合格，判定为被抽查产品不合格。</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color w:val="000000"/>
          <w:szCs w:val="21"/>
        </w:rPr>
      </w:pPr>
      <w:r>
        <w:rPr>
          <w:rFonts w:hint="eastAsia" w:ascii="宋体" w:hAnsi="宋体"/>
          <w:color w:val="000000"/>
          <w:szCs w:val="21"/>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0CB3CC2-3E28-413B-BEFC-A82614C2DAD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11070634-E3DE-4179-A084-8E4967DCD7A0}"/>
  </w:font>
  <w:font w:name="方正小标宋简体">
    <w:altName w:val="Arial Unicode MS"/>
    <w:panose1 w:val="02010601030101010101"/>
    <w:charset w:val="86"/>
    <w:family w:val="script"/>
    <w:pitch w:val="default"/>
    <w:sig w:usb0="00000000" w:usb1="00000000" w:usb2="00000000" w:usb3="00000000" w:csb0="00040000" w:csb1="00000000"/>
    <w:embedRegular r:id="rId3" w:fontKey="{C9EB023D-EA61-48AE-B0E5-4A4A0883BEE4}"/>
  </w:font>
  <w:font w:name="方正仿宋简体">
    <w:panose1 w:val="02000000000000000000"/>
    <w:charset w:val="86"/>
    <w:family w:val="auto"/>
    <w:pitch w:val="default"/>
    <w:sig w:usb0="A00002BF" w:usb1="184F6CFA" w:usb2="00000012" w:usb3="00000000" w:csb0="00040001" w:csb1="00000000"/>
    <w:embedRegular r:id="rId4" w:fontKey="{12822733-5F4F-49D1-9F94-409D4A82F8E1}"/>
  </w:font>
  <w:font w:name="方正仿宋_GBK">
    <w:panose1 w:val="02000000000000000000"/>
    <w:charset w:val="86"/>
    <w:family w:val="script"/>
    <w:pitch w:val="default"/>
    <w:sig w:usb0="A00002BF" w:usb1="38CF7CFA" w:usb2="00082016" w:usb3="00000000" w:csb0="00040001" w:csb1="00000000"/>
    <w:embedRegular r:id="rId5" w:fontKey="{C1F917EA-14E2-490B-AE62-88E895A720FB}"/>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t>2</w:t>
    </w:r>
    <w:r>
      <w:rPr>
        <w:rStyle w:val="8"/>
      </w:rP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2OWU5ODBiYTQ1ZDhlNWNhMGE0ZmQ3OWIzYWVkMDIifQ=="/>
  </w:docVars>
  <w:rsids>
    <w:rsidRoot w:val="004E1C1B"/>
    <w:rsid w:val="00017598"/>
    <w:rsid w:val="00070677"/>
    <w:rsid w:val="00071BFB"/>
    <w:rsid w:val="000816CA"/>
    <w:rsid w:val="000A6B06"/>
    <w:rsid w:val="000F47BD"/>
    <w:rsid w:val="00110089"/>
    <w:rsid w:val="00126693"/>
    <w:rsid w:val="00142815"/>
    <w:rsid w:val="002122B4"/>
    <w:rsid w:val="002651E6"/>
    <w:rsid w:val="0027234F"/>
    <w:rsid w:val="00272CA1"/>
    <w:rsid w:val="00276BA0"/>
    <w:rsid w:val="00277D59"/>
    <w:rsid w:val="00292F7F"/>
    <w:rsid w:val="002A21E1"/>
    <w:rsid w:val="002C4216"/>
    <w:rsid w:val="00302B95"/>
    <w:rsid w:val="00344EF9"/>
    <w:rsid w:val="00360E00"/>
    <w:rsid w:val="003808FF"/>
    <w:rsid w:val="00386676"/>
    <w:rsid w:val="003C51F6"/>
    <w:rsid w:val="003F4F40"/>
    <w:rsid w:val="004078C1"/>
    <w:rsid w:val="00444792"/>
    <w:rsid w:val="00473779"/>
    <w:rsid w:val="004A6040"/>
    <w:rsid w:val="004A6875"/>
    <w:rsid w:val="004B72EC"/>
    <w:rsid w:val="004C13EF"/>
    <w:rsid w:val="004E1C1B"/>
    <w:rsid w:val="0050332A"/>
    <w:rsid w:val="00510039"/>
    <w:rsid w:val="005234DA"/>
    <w:rsid w:val="00556685"/>
    <w:rsid w:val="005A790A"/>
    <w:rsid w:val="005B3386"/>
    <w:rsid w:val="00605616"/>
    <w:rsid w:val="00622E51"/>
    <w:rsid w:val="00623104"/>
    <w:rsid w:val="0063289E"/>
    <w:rsid w:val="00636743"/>
    <w:rsid w:val="00644936"/>
    <w:rsid w:val="00653E83"/>
    <w:rsid w:val="0066117E"/>
    <w:rsid w:val="00681809"/>
    <w:rsid w:val="00684A78"/>
    <w:rsid w:val="00684E16"/>
    <w:rsid w:val="006D52B2"/>
    <w:rsid w:val="006E7112"/>
    <w:rsid w:val="006F11F0"/>
    <w:rsid w:val="006F3C2F"/>
    <w:rsid w:val="00701745"/>
    <w:rsid w:val="00707B57"/>
    <w:rsid w:val="00712144"/>
    <w:rsid w:val="00721F6B"/>
    <w:rsid w:val="007349BB"/>
    <w:rsid w:val="007652FF"/>
    <w:rsid w:val="00787874"/>
    <w:rsid w:val="007B2CB6"/>
    <w:rsid w:val="007E2FC8"/>
    <w:rsid w:val="00813A0F"/>
    <w:rsid w:val="00871623"/>
    <w:rsid w:val="008A4E3C"/>
    <w:rsid w:val="008E6FAA"/>
    <w:rsid w:val="00916257"/>
    <w:rsid w:val="009354D0"/>
    <w:rsid w:val="009B04C1"/>
    <w:rsid w:val="009B783F"/>
    <w:rsid w:val="009E131F"/>
    <w:rsid w:val="009E628B"/>
    <w:rsid w:val="00A26D28"/>
    <w:rsid w:val="00A30649"/>
    <w:rsid w:val="00A409F0"/>
    <w:rsid w:val="00A775F3"/>
    <w:rsid w:val="00A871CD"/>
    <w:rsid w:val="00A87EB1"/>
    <w:rsid w:val="00A94967"/>
    <w:rsid w:val="00A957C3"/>
    <w:rsid w:val="00AB5EEF"/>
    <w:rsid w:val="00AF7D1B"/>
    <w:rsid w:val="00B01F8D"/>
    <w:rsid w:val="00B0597E"/>
    <w:rsid w:val="00B43A71"/>
    <w:rsid w:val="00B61E92"/>
    <w:rsid w:val="00B918EF"/>
    <w:rsid w:val="00BC5D4A"/>
    <w:rsid w:val="00BD6C92"/>
    <w:rsid w:val="00BE42E1"/>
    <w:rsid w:val="00BF071F"/>
    <w:rsid w:val="00BF7E2E"/>
    <w:rsid w:val="00C436D6"/>
    <w:rsid w:val="00CA0160"/>
    <w:rsid w:val="00CC476F"/>
    <w:rsid w:val="00CC5CD5"/>
    <w:rsid w:val="00CE4EBA"/>
    <w:rsid w:val="00D2319E"/>
    <w:rsid w:val="00D6128B"/>
    <w:rsid w:val="00D63CC7"/>
    <w:rsid w:val="00DA0F15"/>
    <w:rsid w:val="00DD40C8"/>
    <w:rsid w:val="00DD5955"/>
    <w:rsid w:val="00E21673"/>
    <w:rsid w:val="00E371D6"/>
    <w:rsid w:val="00E52A1A"/>
    <w:rsid w:val="00E766A1"/>
    <w:rsid w:val="00E96D0A"/>
    <w:rsid w:val="00EB1677"/>
    <w:rsid w:val="00EE7D38"/>
    <w:rsid w:val="00EF5E2D"/>
    <w:rsid w:val="00F02B1B"/>
    <w:rsid w:val="00F32133"/>
    <w:rsid w:val="00F36EF4"/>
    <w:rsid w:val="00F6285D"/>
    <w:rsid w:val="00F762D5"/>
    <w:rsid w:val="00F76D14"/>
    <w:rsid w:val="00FA10D3"/>
    <w:rsid w:val="00FB7415"/>
    <w:rsid w:val="00FC7AB5"/>
    <w:rsid w:val="00FF44CB"/>
    <w:rsid w:val="012320B0"/>
    <w:rsid w:val="0192730A"/>
    <w:rsid w:val="01D34174"/>
    <w:rsid w:val="03BA154F"/>
    <w:rsid w:val="07C839E4"/>
    <w:rsid w:val="07D10323"/>
    <w:rsid w:val="09B0436D"/>
    <w:rsid w:val="0D6231F0"/>
    <w:rsid w:val="10775E30"/>
    <w:rsid w:val="12B50E2C"/>
    <w:rsid w:val="16BD23E5"/>
    <w:rsid w:val="1A321EB2"/>
    <w:rsid w:val="1A455AB3"/>
    <w:rsid w:val="1D7B13A5"/>
    <w:rsid w:val="1DC36C51"/>
    <w:rsid w:val="202873A3"/>
    <w:rsid w:val="223B0321"/>
    <w:rsid w:val="227544F7"/>
    <w:rsid w:val="23AD30F3"/>
    <w:rsid w:val="25022B2D"/>
    <w:rsid w:val="2866761B"/>
    <w:rsid w:val="2A650C4F"/>
    <w:rsid w:val="2C63027A"/>
    <w:rsid w:val="2D2D2E8B"/>
    <w:rsid w:val="2E4547E8"/>
    <w:rsid w:val="2F5A5129"/>
    <w:rsid w:val="2FB2216C"/>
    <w:rsid w:val="30181DF2"/>
    <w:rsid w:val="339A79C6"/>
    <w:rsid w:val="395D1036"/>
    <w:rsid w:val="3DB97124"/>
    <w:rsid w:val="40AA1038"/>
    <w:rsid w:val="41FA15FA"/>
    <w:rsid w:val="46925519"/>
    <w:rsid w:val="4A027822"/>
    <w:rsid w:val="4E216784"/>
    <w:rsid w:val="50624B47"/>
    <w:rsid w:val="513462F8"/>
    <w:rsid w:val="519658E0"/>
    <w:rsid w:val="564D1C3B"/>
    <w:rsid w:val="579F3359"/>
    <w:rsid w:val="58D415F4"/>
    <w:rsid w:val="59B43755"/>
    <w:rsid w:val="59ED5F32"/>
    <w:rsid w:val="5AD34608"/>
    <w:rsid w:val="5B1C7E73"/>
    <w:rsid w:val="5C7B1186"/>
    <w:rsid w:val="5D280146"/>
    <w:rsid w:val="62320D58"/>
    <w:rsid w:val="629B3BB3"/>
    <w:rsid w:val="643F2473"/>
    <w:rsid w:val="65A96E50"/>
    <w:rsid w:val="68AA4E85"/>
    <w:rsid w:val="6D59243B"/>
    <w:rsid w:val="709C3A41"/>
    <w:rsid w:val="721A12E9"/>
    <w:rsid w:val="77B2501E"/>
    <w:rsid w:val="77E270DC"/>
    <w:rsid w:val="797D6B9A"/>
    <w:rsid w:val="7A2A2F61"/>
    <w:rsid w:val="7C406CB0"/>
    <w:rsid w:val="7C5C0CFC"/>
    <w:rsid w:val="7CF43CCA"/>
    <w:rsid w:val="7D4A2CA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9"/>
    <w:autoRedefine/>
    <w:semiHidden/>
    <w:qFormat/>
    <w:uiPriority w:val="99"/>
    <w:pPr>
      <w:shd w:val="clear" w:color="auto" w:fill="000080"/>
    </w:pPr>
  </w:style>
  <w:style w:type="paragraph" w:styleId="3">
    <w:name w:val="footer"/>
    <w:basedOn w:val="1"/>
    <w:link w:val="10"/>
    <w:qFormat/>
    <w:uiPriority w:val="99"/>
    <w:pPr>
      <w:tabs>
        <w:tab w:val="center" w:pos="4153"/>
        <w:tab w:val="right" w:pos="8306"/>
      </w:tabs>
      <w:snapToGrid w:val="0"/>
      <w:jc w:val="left"/>
    </w:pPr>
    <w:rPr>
      <w:rFonts w:ascii="Calibri" w:hAnsi="Calibri"/>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rFonts w:ascii="Calibri" w:hAnsi="Calibri"/>
      <w:sz w:val="18"/>
      <w:szCs w:val="18"/>
    </w:rPr>
  </w:style>
  <w:style w:type="table" w:styleId="6">
    <w:name w:val="Table Grid"/>
    <w:basedOn w:val="5"/>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8">
    <w:name w:val="page number"/>
    <w:autoRedefine/>
    <w:qFormat/>
    <w:uiPriority w:val="99"/>
    <w:rPr>
      <w:rFonts w:cs="Times New Roman"/>
    </w:rPr>
  </w:style>
  <w:style w:type="character" w:customStyle="1" w:styleId="9">
    <w:name w:val="文档结构图 字符"/>
    <w:link w:val="2"/>
    <w:semiHidden/>
    <w:qFormat/>
    <w:locked/>
    <w:uiPriority w:val="99"/>
    <w:rPr>
      <w:rFonts w:ascii="Times New Roman" w:hAnsi="Times New Roman" w:cs="Times New Roman"/>
      <w:sz w:val="2"/>
    </w:rPr>
  </w:style>
  <w:style w:type="character" w:customStyle="1" w:styleId="10">
    <w:name w:val="页脚 字符"/>
    <w:link w:val="3"/>
    <w:qFormat/>
    <w:locked/>
    <w:uiPriority w:val="99"/>
    <w:rPr>
      <w:rFonts w:cs="Times New Roman"/>
      <w:sz w:val="18"/>
      <w:szCs w:val="18"/>
    </w:rPr>
  </w:style>
  <w:style w:type="character" w:customStyle="1" w:styleId="11">
    <w:name w:val="页眉 字符"/>
    <w:link w:val="4"/>
    <w:autoRedefine/>
    <w:qFormat/>
    <w:locked/>
    <w:uiPriority w:val="99"/>
    <w:rPr>
      <w:rFonts w:cs="Times New Roman"/>
      <w:sz w:val="18"/>
      <w:szCs w:val="18"/>
    </w:rPr>
  </w:style>
  <w:style w:type="character" w:customStyle="1" w:styleId="12">
    <w:name w:val="页脚 Char1"/>
    <w:semiHidden/>
    <w:qFormat/>
    <w:locked/>
    <w:uiPriority w:val="99"/>
    <w:rPr>
      <w:rFonts w:ascii="Times New Roman" w:hAnsi="Times New Roman" w:eastAsia="宋体" w:cs="Times New Roman"/>
      <w:sz w:val="18"/>
      <w:szCs w:val="18"/>
    </w:rPr>
  </w:style>
  <w:style w:type="character" w:customStyle="1" w:styleId="13">
    <w:name w:val="页眉 Char1"/>
    <w:autoRedefine/>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292</Words>
  <Characters>1671</Characters>
  <Lines>13</Lines>
  <Paragraphs>3</Paragraphs>
  <TotalTime>3</TotalTime>
  <ScaleCrop>false</ScaleCrop>
  <LinksUpToDate>false</LinksUpToDate>
  <CharactersWithSpaces>1960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2021-09-07T06:08:00Z</dcterms:created>
  <dc:creator>pc</dc:creator>
  <cp:lastModifiedBy>王达达</cp:lastModifiedBy>
  <dcterms:modified xsi:type="dcterms:W3CDTF">2024-01-08T06:54:32Z</dcterms:modified>
  <dc:title>重庆市修正液产品质量监督抽查实施细则</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4529799BA6AE446EBC56A8948E0844D2</vt:lpwstr>
  </property>
</Properties>
</file>