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contextualSpacing/>
        <w:jc w:val="center"/>
        <w:rPr>
          <w:rFonts w:hint="eastAsia" w:ascii="方正小标宋简体" w:hAnsi="仿宋" w:eastAsia="方正小标宋简体" w:cs="方正仿宋简体"/>
          <w:color w:val="000000"/>
          <w:sz w:val="32"/>
          <w:szCs w:val="32"/>
        </w:rPr>
      </w:pPr>
      <w:bookmarkStart w:id="2" w:name="_GoBack"/>
      <w:bookmarkEnd w:id="2"/>
      <w:r>
        <w:rPr>
          <w:rFonts w:hint="eastAsia" w:ascii="方正小标宋简体" w:hAnsi="仿宋" w:eastAsia="方正小标宋简体" w:cs="方正仿宋简体"/>
          <w:color w:val="000000"/>
          <w:sz w:val="32"/>
          <w:szCs w:val="32"/>
        </w:rPr>
        <w:t>重庆市校服产品质量监督抽查实施细则（202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pPr>
        <w:adjustRightInd w:val="0"/>
        <w:spacing w:line="360" w:lineRule="auto"/>
        <w:contextualSpacing/>
        <w:jc w:val="center"/>
        <w:rPr>
          <w:rFonts w:hint="eastAsia" w:ascii="方正小标宋简体" w:hAnsi="仿宋" w:eastAsia="方正小标宋简体" w:cs="方正仿宋简体"/>
          <w:color w:val="000000"/>
          <w:sz w:val="32"/>
          <w:szCs w:val="32"/>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 xml:space="preserve">1 抽样方法 </w:t>
      </w:r>
    </w:p>
    <w:p>
      <w:pPr>
        <w:snapToGrid w:val="0"/>
        <w:spacing w:line="440" w:lineRule="exact"/>
        <w:ind w:firstLine="420" w:firstLineChars="200"/>
        <w:rPr>
          <w:rFonts w:ascii="宋体" w:hAnsi="宋体"/>
          <w:color w:val="auto"/>
          <w:szCs w:val="21"/>
        </w:rPr>
      </w:pPr>
      <w:r>
        <w:rPr>
          <w:rFonts w:hint="eastAsia" w:ascii="宋体" w:hAnsi="宋体"/>
          <w:color w:val="auto"/>
          <w:szCs w:val="21"/>
        </w:rPr>
        <w:t>以随机抽样的方式在被抽样生产者的待销产品中抽取。</w:t>
      </w:r>
    </w:p>
    <w:p>
      <w:pPr>
        <w:snapToGrid w:val="0"/>
        <w:spacing w:line="440" w:lineRule="exact"/>
        <w:ind w:firstLine="420" w:firstLineChars="200"/>
        <w:rPr>
          <w:rFonts w:ascii="宋体" w:hAnsi="宋体"/>
          <w:color w:val="auto"/>
          <w:szCs w:val="21"/>
          <w:highlight w:val="none"/>
        </w:rPr>
      </w:pPr>
      <w:r>
        <w:rPr>
          <w:rFonts w:hint="eastAsia" w:ascii="宋体" w:hAnsi="宋体"/>
          <w:color w:val="auto"/>
          <w:szCs w:val="21"/>
        </w:rPr>
        <w:t>随机数一般可使用随机数表等方法产生。</w:t>
      </w:r>
    </w:p>
    <w:p>
      <w:pPr>
        <w:snapToGrid w:val="0"/>
        <w:spacing w:line="440" w:lineRule="exact"/>
        <w:ind w:firstLine="420" w:firstLineChars="200"/>
        <w:rPr>
          <w:rFonts w:hint="eastAsia" w:ascii="宋体" w:hAnsi="宋体"/>
          <w:szCs w:val="21"/>
          <w:highlight w:val="none"/>
          <w:lang w:eastAsia="zh-CN"/>
        </w:rPr>
      </w:pPr>
      <w:r>
        <w:rPr>
          <w:rFonts w:hint="eastAsia" w:ascii="宋体" w:hAnsi="宋体"/>
          <w:color w:val="auto"/>
          <w:szCs w:val="21"/>
          <w:highlight w:val="none"/>
          <w:lang w:eastAsia="zh-CN"/>
        </w:rPr>
        <w:t>每批次</w:t>
      </w:r>
      <w:r>
        <w:rPr>
          <w:rFonts w:hint="eastAsia" w:ascii="宋体" w:hAnsi="宋体"/>
          <w:color w:val="auto"/>
          <w:szCs w:val="21"/>
          <w:highlight w:val="none"/>
        </w:rPr>
        <w:t>抽取同一生产者按照同一标准生产的同一商标、</w:t>
      </w:r>
      <w:r>
        <w:rPr>
          <w:rFonts w:ascii="宋体" w:hAnsi="宋体"/>
          <w:color w:val="auto"/>
          <w:szCs w:val="21"/>
          <w:highlight w:val="none"/>
        </w:rPr>
        <w:t>同一款式（货/款号）、同一花型颜色</w:t>
      </w:r>
      <w:r>
        <w:rPr>
          <w:rFonts w:hint="eastAsia" w:ascii="宋体" w:hAnsi="宋体"/>
          <w:color w:val="auto"/>
          <w:szCs w:val="21"/>
          <w:highlight w:val="none"/>
        </w:rPr>
        <w:t>、同一适穿年龄及同一材料的</w:t>
      </w:r>
      <w:r>
        <w:rPr>
          <w:rFonts w:hint="eastAsia" w:ascii="宋体" w:hAnsi="宋体"/>
          <w:color w:val="auto"/>
          <w:szCs w:val="21"/>
          <w:highlight w:val="none"/>
          <w:lang w:eastAsia="zh-CN"/>
        </w:rPr>
        <w:t>产</w:t>
      </w:r>
      <w:r>
        <w:rPr>
          <w:rFonts w:hint="eastAsia" w:ascii="宋体" w:hAnsi="宋体"/>
          <w:color w:val="auto"/>
          <w:szCs w:val="21"/>
          <w:highlight w:val="none"/>
        </w:rPr>
        <w:t>品</w:t>
      </w:r>
      <w:r>
        <w:rPr>
          <w:rFonts w:ascii="宋体" w:hAnsi="宋体"/>
          <w:color w:val="auto"/>
          <w:szCs w:val="21"/>
          <w:highlight w:val="none"/>
        </w:rPr>
        <w:t>2</w:t>
      </w:r>
      <w:r>
        <w:rPr>
          <w:rFonts w:hint="eastAsia" w:ascii="宋体" w:hAnsi="宋体"/>
          <w:color w:val="auto"/>
          <w:szCs w:val="21"/>
          <w:highlight w:val="none"/>
        </w:rPr>
        <w:t>件/套/条，其中</w:t>
      </w:r>
      <w:r>
        <w:rPr>
          <w:rFonts w:ascii="宋体" w:hAnsi="宋体"/>
          <w:color w:val="auto"/>
          <w:szCs w:val="21"/>
          <w:highlight w:val="none"/>
        </w:rPr>
        <w:t>1</w:t>
      </w:r>
      <w:r>
        <w:rPr>
          <w:rFonts w:hint="eastAsia" w:ascii="宋体" w:hAnsi="宋体"/>
          <w:szCs w:val="21"/>
          <w:highlight w:val="none"/>
        </w:rPr>
        <w:t>件/套/条作为检验样品，</w:t>
      </w:r>
      <w:r>
        <w:rPr>
          <w:rFonts w:ascii="宋体" w:hAnsi="宋体"/>
          <w:szCs w:val="21"/>
          <w:highlight w:val="none"/>
        </w:rPr>
        <w:t>1</w:t>
      </w:r>
      <w:r>
        <w:rPr>
          <w:rFonts w:hint="eastAsia" w:ascii="宋体" w:hAnsi="宋体"/>
          <w:szCs w:val="21"/>
          <w:highlight w:val="none"/>
        </w:rPr>
        <w:t>件/套/条作为备用品</w:t>
      </w:r>
      <w:r>
        <w:rPr>
          <w:rFonts w:hint="eastAsia" w:ascii="宋体" w:hAnsi="宋体"/>
          <w:szCs w:val="21"/>
          <w:highlight w:val="none"/>
          <w:lang w:eastAsia="zh-CN"/>
        </w:rPr>
        <w:t>；若样品为短裙、短裤，则抽取</w:t>
      </w:r>
      <w:r>
        <w:rPr>
          <w:rFonts w:hint="eastAsia" w:ascii="宋体" w:hAnsi="宋体"/>
          <w:szCs w:val="21"/>
          <w:highlight w:val="none"/>
          <w:lang w:val="en-US" w:eastAsia="zh-CN"/>
        </w:rPr>
        <w:t>3</w:t>
      </w:r>
      <w:r>
        <w:rPr>
          <w:rFonts w:hint="eastAsia" w:ascii="宋体" w:hAnsi="宋体"/>
          <w:szCs w:val="21"/>
          <w:highlight w:val="none"/>
        </w:rPr>
        <w:t>件/套/条，其中</w:t>
      </w:r>
      <w:r>
        <w:rPr>
          <w:rFonts w:hint="eastAsia" w:ascii="宋体" w:hAnsi="宋体"/>
          <w:szCs w:val="21"/>
          <w:highlight w:val="none"/>
          <w:lang w:val="en-US" w:eastAsia="zh-CN"/>
        </w:rPr>
        <w:t>2</w:t>
      </w:r>
      <w:r>
        <w:rPr>
          <w:rFonts w:hint="eastAsia" w:ascii="宋体" w:hAnsi="宋体"/>
          <w:szCs w:val="21"/>
          <w:highlight w:val="none"/>
        </w:rPr>
        <w:t>件/套/条作为检验样品，</w:t>
      </w:r>
      <w:r>
        <w:rPr>
          <w:rFonts w:ascii="宋体" w:hAnsi="宋体"/>
          <w:szCs w:val="21"/>
          <w:highlight w:val="none"/>
        </w:rPr>
        <w:t>1</w:t>
      </w:r>
      <w:r>
        <w:rPr>
          <w:rFonts w:hint="eastAsia" w:ascii="宋体" w:hAnsi="宋体"/>
          <w:szCs w:val="21"/>
          <w:highlight w:val="none"/>
        </w:rPr>
        <w:t>件/套/条作为备用</w:t>
      </w:r>
      <w:r>
        <w:rPr>
          <w:rFonts w:hint="eastAsia" w:ascii="宋体" w:hAnsi="宋体"/>
          <w:szCs w:val="21"/>
          <w:highlight w:val="none"/>
          <w:lang w:eastAsia="zh-CN"/>
        </w:rPr>
        <w:t>样品。</w:t>
      </w:r>
    </w:p>
    <w:p>
      <w:pPr>
        <w:snapToGrid w:val="0"/>
        <w:spacing w:line="440" w:lineRule="exact"/>
        <w:ind w:firstLine="420" w:firstLineChars="200"/>
        <w:rPr>
          <w:rFonts w:hint="eastAsia" w:ascii="宋体" w:hAnsi="宋体"/>
          <w:szCs w:val="21"/>
          <w:highlight w:val="none"/>
          <w:lang w:eastAsia="zh-CN"/>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11"/>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634"/>
        <w:gridCol w:w="5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blHeader/>
          <w:jc w:val="center"/>
        </w:trPr>
        <w:tc>
          <w:tcPr>
            <w:tcW w:w="671" w:type="dxa"/>
            <w:tcBorders>
              <w:bottom w:val="single" w:color="auto" w:sz="4" w:space="0"/>
            </w:tcBorders>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序号</w:t>
            </w:r>
          </w:p>
        </w:tc>
        <w:tc>
          <w:tcPr>
            <w:tcW w:w="2634" w:type="dxa"/>
            <w:tcBorders>
              <w:bottom w:val="single" w:color="auto" w:sz="4" w:space="0"/>
            </w:tcBorders>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检验项目</w:t>
            </w:r>
          </w:p>
        </w:tc>
        <w:tc>
          <w:tcPr>
            <w:tcW w:w="5214" w:type="dxa"/>
            <w:tcBorders>
              <w:bottom w:val="single" w:color="auto" w:sz="4" w:space="0"/>
            </w:tcBorders>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甲醛含量</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2912.1-2009</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lang w:val="en-US" w:eastAsia="zh-CN"/>
              </w:rPr>
              <w:t>pH</w:t>
            </w:r>
            <w:r>
              <w:rPr>
                <w:rFonts w:hint="eastAsia" w:ascii="宋体" w:hAnsi="宋体"/>
                <w:color w:val="auto"/>
                <w:szCs w:val="21"/>
                <w:highlight w:val="none"/>
              </w:rPr>
              <w:t>值</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7573-2009</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vertAlign w:val="superscript"/>
              </w:rPr>
            </w:pPr>
            <w:r>
              <w:rPr>
                <w:rFonts w:hint="eastAsia" w:ascii="宋体" w:hAnsi="宋体"/>
                <w:color w:val="auto"/>
                <w:szCs w:val="21"/>
                <w:highlight w:val="none"/>
              </w:rPr>
              <w:t>可分解致癌芳香胺染料</w:t>
            </w:r>
            <w:r>
              <w:rPr>
                <w:rFonts w:hint="eastAsia" w:ascii="宋体" w:hAnsi="宋体"/>
                <w:color w:val="auto"/>
                <w:szCs w:val="21"/>
                <w:highlight w:val="none"/>
                <w:vertAlign w:val="superscript"/>
              </w:rPr>
              <w:t>①</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ascii="宋体" w:hAnsi="宋体"/>
                <w:color w:val="auto"/>
                <w:szCs w:val="21"/>
                <w:highlight w:val="none"/>
              </w:rPr>
            </w:pPr>
            <w:r>
              <w:rPr>
                <w:rFonts w:hint="eastAsia" w:ascii="宋体" w:hAnsi="宋体"/>
                <w:color w:val="auto"/>
                <w:szCs w:val="21"/>
                <w:highlight w:val="none"/>
              </w:rPr>
              <w:t>GB/T 17592-2011</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23344-2009</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耐干摩擦色牢度</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18401-2010</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3920-2008</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vertAlign w:val="baseline"/>
              </w:rPr>
            </w:pPr>
            <w:r>
              <w:rPr>
                <w:rFonts w:hint="eastAsia" w:ascii="宋体" w:hAnsi="宋体"/>
                <w:color w:val="auto"/>
                <w:szCs w:val="21"/>
                <w:highlight w:val="none"/>
              </w:rPr>
              <w:t>耐湿摩擦色牢度</w:t>
            </w:r>
          </w:p>
        </w:tc>
        <w:tc>
          <w:tcPr>
            <w:tcW w:w="521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3920-2008</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纤维含量</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29862-2013</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FZ/T 01057.1～4-2007</w:t>
            </w:r>
          </w:p>
          <w:p>
            <w:pPr>
              <w:spacing w:line="288" w:lineRule="auto"/>
              <w:jc w:val="center"/>
              <w:rPr>
                <w:rFonts w:ascii="宋体" w:hAnsi="宋体"/>
                <w:color w:val="auto"/>
                <w:szCs w:val="21"/>
                <w:highlight w:val="none"/>
              </w:rPr>
            </w:pPr>
            <w:r>
              <w:rPr>
                <w:rFonts w:hint="eastAsia" w:ascii="宋体" w:hAnsi="宋体"/>
                <w:color w:val="auto"/>
                <w:szCs w:val="21"/>
                <w:highlight w:val="none"/>
              </w:rPr>
              <w:t>FZ/T 01057.6-2007</w:t>
            </w:r>
          </w:p>
          <w:p>
            <w:pPr>
              <w:spacing w:line="288" w:lineRule="auto"/>
              <w:jc w:val="center"/>
              <w:rPr>
                <w:rFonts w:ascii="宋体" w:hAnsi="宋体"/>
                <w:color w:val="auto"/>
                <w:szCs w:val="21"/>
                <w:highlight w:val="none"/>
              </w:rPr>
            </w:pPr>
            <w:r>
              <w:rPr>
                <w:rFonts w:hint="eastAsia" w:ascii="宋体" w:hAnsi="宋体"/>
                <w:color w:val="auto"/>
                <w:szCs w:val="21"/>
                <w:highlight w:val="none"/>
              </w:rPr>
              <w:t>GB/T 2910.1～24-2009</w:t>
            </w:r>
            <w:r>
              <w:rPr>
                <w:rFonts w:hint="eastAsia" w:ascii="宋体" w:hAnsi="宋体"/>
                <w:color w:val="auto"/>
                <w:szCs w:val="21"/>
                <w:highlight w:val="none"/>
              </w:rPr>
              <w:br w:type="textWrapping"/>
            </w:r>
            <w:r>
              <w:rPr>
                <w:rFonts w:hint="eastAsia" w:ascii="宋体" w:hAnsi="宋体"/>
                <w:color w:val="auto"/>
                <w:szCs w:val="21"/>
                <w:highlight w:val="none"/>
              </w:rPr>
              <w:t>GB/T 2910.101-2009</w:t>
            </w:r>
            <w:r>
              <w:rPr>
                <w:rFonts w:hint="eastAsia" w:ascii="宋体" w:hAnsi="宋体"/>
                <w:color w:val="auto"/>
                <w:szCs w:val="21"/>
                <w:highlight w:val="none"/>
              </w:rPr>
              <w:br w:type="textWrapping"/>
            </w:r>
            <w:r>
              <w:rPr>
                <w:rFonts w:hint="eastAsia" w:ascii="宋体" w:hAnsi="宋体"/>
                <w:color w:val="auto"/>
                <w:szCs w:val="21"/>
                <w:highlight w:val="none"/>
              </w:rPr>
              <w:t>GB/T 16988-2013</w:t>
            </w:r>
            <w:r>
              <w:rPr>
                <w:rFonts w:hint="eastAsia" w:ascii="宋体" w:hAnsi="宋体"/>
                <w:color w:val="auto"/>
                <w:szCs w:val="21"/>
                <w:highlight w:val="none"/>
              </w:rPr>
              <w:br w:type="textWrapping"/>
            </w:r>
            <w:r>
              <w:rPr>
                <w:rFonts w:hint="eastAsia" w:ascii="宋体" w:hAnsi="宋体"/>
                <w:color w:val="auto"/>
                <w:szCs w:val="21"/>
                <w:highlight w:val="none"/>
              </w:rPr>
              <w:t>GB/T 32198-2015</w:t>
            </w:r>
            <w:r>
              <w:rPr>
                <w:rFonts w:hint="eastAsia" w:ascii="宋体" w:hAnsi="宋体"/>
                <w:color w:val="auto"/>
                <w:szCs w:val="21"/>
                <w:highlight w:val="none"/>
              </w:rPr>
              <w:br w:type="textWrapping"/>
            </w:r>
            <w:r>
              <w:rPr>
                <w:rFonts w:hint="eastAsia" w:ascii="宋体" w:hAnsi="宋体"/>
                <w:color w:val="auto"/>
                <w:szCs w:val="21"/>
                <w:highlight w:val="none"/>
              </w:rPr>
              <w:t>FZ/T 01026-2017</w:t>
            </w:r>
            <w:r>
              <w:rPr>
                <w:rFonts w:hint="eastAsia" w:ascii="宋体" w:hAnsi="宋体"/>
                <w:color w:val="auto"/>
                <w:szCs w:val="21"/>
                <w:highlight w:val="none"/>
              </w:rPr>
              <w:br w:type="textWrapping"/>
            </w:r>
            <w:r>
              <w:rPr>
                <w:rFonts w:hint="eastAsia" w:ascii="宋体" w:hAnsi="宋体"/>
                <w:color w:val="auto"/>
                <w:szCs w:val="21"/>
                <w:highlight w:val="none"/>
              </w:rPr>
              <w:t>FZ/T 01095-2002</w:t>
            </w:r>
            <w:r>
              <w:rPr>
                <w:rFonts w:hint="eastAsia" w:ascii="宋体" w:hAnsi="宋体"/>
                <w:color w:val="auto"/>
                <w:szCs w:val="21"/>
                <w:highlight w:val="none"/>
              </w:rPr>
              <w:br w:type="textWrapping"/>
            </w:r>
            <w:r>
              <w:rPr>
                <w:rFonts w:hint="eastAsia" w:ascii="宋体" w:hAnsi="宋体"/>
                <w:color w:val="auto"/>
                <w:szCs w:val="21"/>
                <w:highlight w:val="none"/>
              </w:rPr>
              <w:t>FZ/T 01101-2008</w:t>
            </w:r>
            <w:r>
              <w:rPr>
                <w:rFonts w:hint="eastAsia" w:ascii="宋体" w:hAnsi="宋体"/>
                <w:color w:val="auto"/>
                <w:szCs w:val="21"/>
                <w:highlight w:val="none"/>
              </w:rPr>
              <w:br w:type="textWrapping"/>
            </w:r>
            <w:r>
              <w:rPr>
                <w:rFonts w:hint="eastAsia" w:ascii="宋体" w:hAnsi="宋体"/>
                <w:color w:val="auto"/>
                <w:szCs w:val="21"/>
                <w:highlight w:val="none"/>
              </w:rPr>
              <w:t>FZ/T 01103-2009</w:t>
            </w:r>
            <w:r>
              <w:rPr>
                <w:rFonts w:hint="eastAsia" w:ascii="宋体" w:hAnsi="宋体"/>
                <w:color w:val="auto"/>
                <w:szCs w:val="21"/>
                <w:highlight w:val="none"/>
              </w:rPr>
              <w:br w:type="textWrapping"/>
            </w:r>
            <w:r>
              <w:rPr>
                <w:rFonts w:hint="eastAsia" w:ascii="宋体" w:hAnsi="宋体"/>
                <w:color w:val="auto"/>
                <w:szCs w:val="21"/>
                <w:highlight w:val="none"/>
              </w:rPr>
              <w:t>FZ/T 01112-2012</w:t>
            </w:r>
            <w:r>
              <w:rPr>
                <w:rFonts w:hint="eastAsia" w:ascii="宋体" w:hAnsi="宋体"/>
                <w:color w:val="auto"/>
                <w:szCs w:val="21"/>
                <w:highlight w:val="none"/>
              </w:rPr>
              <w:br w:type="textWrapping"/>
            </w:r>
            <w:r>
              <w:rPr>
                <w:rFonts w:hint="eastAsia" w:ascii="宋体" w:hAnsi="宋体"/>
                <w:color w:val="auto"/>
                <w:szCs w:val="21"/>
                <w:highlight w:val="none"/>
              </w:rPr>
              <w:t>FZ/T 01131-2016</w:t>
            </w:r>
            <w:r>
              <w:rPr>
                <w:rFonts w:hint="eastAsia" w:ascii="宋体" w:hAnsi="宋体"/>
                <w:color w:val="auto"/>
                <w:szCs w:val="21"/>
                <w:highlight w:val="none"/>
              </w:rPr>
              <w:br w:type="textWrapping"/>
            </w:r>
            <w:r>
              <w:rPr>
                <w:rFonts w:hint="eastAsia" w:ascii="宋体" w:hAnsi="宋体"/>
                <w:color w:val="auto"/>
                <w:szCs w:val="21"/>
                <w:highlight w:val="none"/>
              </w:rPr>
              <w:t>FZ/T 01132-2016</w:t>
            </w:r>
            <w:r>
              <w:rPr>
                <w:rFonts w:hint="eastAsia" w:ascii="宋体" w:hAnsi="宋体"/>
                <w:color w:val="auto"/>
                <w:szCs w:val="21"/>
                <w:highlight w:val="none"/>
              </w:rPr>
              <w:br w:type="textWrapping"/>
            </w:r>
            <w:r>
              <w:rPr>
                <w:rFonts w:hint="eastAsia" w:ascii="宋体" w:hAnsi="宋体"/>
                <w:color w:val="auto"/>
                <w:szCs w:val="21"/>
                <w:highlight w:val="none"/>
              </w:rPr>
              <w:t>FZ/T 30003-2009</w:t>
            </w:r>
            <w:r>
              <w:rPr>
                <w:rFonts w:hint="eastAsia" w:ascii="宋体" w:hAnsi="宋体"/>
                <w:color w:val="auto"/>
                <w:szCs w:val="21"/>
                <w:highlight w:val="none"/>
              </w:rPr>
              <w:br w:type="textWrapping"/>
            </w:r>
            <w:r>
              <w:rPr>
                <w:rFonts w:hint="eastAsia" w:ascii="宋体" w:hAnsi="宋体"/>
                <w:color w:val="auto"/>
                <w:szCs w:val="21"/>
                <w:highlight w:val="none"/>
              </w:rPr>
              <w:t>FZ/T 40005-2009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附件锐利性</w:t>
            </w:r>
          </w:p>
        </w:tc>
        <w:tc>
          <w:tcPr>
            <w:tcW w:w="521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31702-2015</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绳带要求</w:t>
            </w:r>
          </w:p>
        </w:tc>
        <w:tc>
          <w:tcPr>
            <w:tcW w:w="521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GB 31701-2015</w:t>
            </w:r>
          </w:p>
          <w:p>
            <w:pPr>
              <w:spacing w:line="288" w:lineRule="auto"/>
              <w:jc w:val="center"/>
              <w:rPr>
                <w:rFonts w:ascii="宋体" w:hAnsi="宋体"/>
                <w:color w:val="auto"/>
                <w:szCs w:val="21"/>
                <w:highlight w:val="none"/>
              </w:rPr>
            </w:pPr>
            <w:r>
              <w:rPr>
                <w:rFonts w:hint="eastAsia" w:ascii="宋体" w:hAnsi="宋体"/>
                <w:color w:val="auto"/>
                <w:szCs w:val="21"/>
                <w:highlight w:val="none"/>
              </w:rPr>
              <w:t xml:space="preserve">GB 31701-2015 </w:t>
            </w:r>
            <w:r>
              <w:rPr>
                <w:rFonts w:ascii="宋体" w:hAnsi="宋体"/>
                <w:color w:val="auto"/>
                <w:szCs w:val="21"/>
                <w:highlight w:val="none"/>
              </w:rPr>
              <w:t>5.7</w:t>
            </w:r>
          </w:p>
          <w:p>
            <w:pPr>
              <w:spacing w:line="288" w:lineRule="auto"/>
              <w:jc w:val="center"/>
              <w:rPr>
                <w:rFonts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耐光、汗复合色牢度</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 14576-2009</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耐光色牢度</w:t>
            </w:r>
          </w:p>
        </w:tc>
        <w:tc>
          <w:tcPr>
            <w:tcW w:w="521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GB/T 8427-20</w:t>
            </w:r>
            <w:r>
              <w:rPr>
                <w:rFonts w:ascii="宋体" w:hAnsi="宋体"/>
                <w:color w:val="auto"/>
                <w:szCs w:val="21"/>
                <w:highlight w:val="none"/>
              </w:rPr>
              <w:t>19</w:t>
            </w:r>
          </w:p>
          <w:p>
            <w:pPr>
              <w:spacing w:line="288" w:lineRule="auto"/>
              <w:jc w:val="center"/>
              <w:rPr>
                <w:rFonts w:ascii="宋体" w:hAnsi="宋体"/>
                <w:color w:val="auto"/>
                <w:szCs w:val="21"/>
                <w:highlight w:val="none"/>
              </w:rPr>
            </w:pPr>
            <w:r>
              <w:rPr>
                <w:rFonts w:hint="eastAsia" w:ascii="宋体" w:hAnsi="宋体"/>
                <w:color w:val="auto"/>
                <w:szCs w:val="21"/>
                <w:highlight w:val="none"/>
              </w:rPr>
              <w:t>G</w:t>
            </w:r>
            <w:r>
              <w:rPr>
                <w:rFonts w:ascii="宋体" w:hAnsi="宋体"/>
                <w:color w:val="auto"/>
                <w:szCs w:val="21"/>
                <w:highlight w:val="none"/>
              </w:rPr>
              <w:t>B/T 8427-2008</w:t>
            </w:r>
          </w:p>
          <w:p>
            <w:pPr>
              <w:spacing w:line="288" w:lineRule="auto"/>
              <w:jc w:val="center"/>
              <w:rPr>
                <w:rFonts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lang w:val="en-US" w:eastAsia="zh-CN"/>
              </w:rPr>
              <w:t>织物纤维成分及含量</w:t>
            </w:r>
          </w:p>
        </w:tc>
        <w:tc>
          <w:tcPr>
            <w:tcW w:w="5214" w:type="dxa"/>
            <w:vAlign w:val="center"/>
          </w:tcPr>
          <w:p>
            <w:pPr>
              <w:spacing w:line="240" w:lineRule="auto"/>
              <w:jc w:val="center"/>
              <w:rPr>
                <w:rFonts w:ascii="宋体" w:hAnsi="宋体"/>
                <w:color w:val="auto"/>
                <w:szCs w:val="21"/>
                <w:highlight w:val="none"/>
              </w:rPr>
            </w:pPr>
            <w:r>
              <w:rPr>
                <w:rFonts w:hint="eastAsia" w:ascii="宋体" w:hAnsi="宋体"/>
                <w:color w:val="auto"/>
                <w:szCs w:val="21"/>
                <w:highlight w:val="none"/>
                <w:lang w:val="en-US" w:eastAsia="zh-CN"/>
              </w:rPr>
              <w:t>GB/T 31888-2015 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静水压</w:t>
            </w:r>
            <w:r>
              <w:rPr>
                <w:rFonts w:hint="eastAsia" w:ascii="宋体" w:hAnsi="宋体"/>
                <w:color w:val="auto"/>
                <w:szCs w:val="21"/>
                <w:highlight w:val="none"/>
                <w:vertAlign w:val="superscript"/>
              </w:rPr>
              <w:t>②</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w:t>
            </w:r>
            <w:r>
              <w:rPr>
                <w:rFonts w:ascii="宋体" w:hAnsi="宋体"/>
                <w:color w:val="auto"/>
                <w:szCs w:val="21"/>
                <w:highlight w:val="none"/>
              </w:rPr>
              <w:t xml:space="preserve"> </w:t>
            </w:r>
            <w:r>
              <w:rPr>
                <w:rFonts w:hint="eastAsia" w:ascii="宋体" w:hAnsi="宋体"/>
                <w:color w:val="auto"/>
                <w:szCs w:val="21"/>
                <w:highlight w:val="none"/>
              </w:rPr>
              <w:t>4744-2013</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671" w:type="dxa"/>
            <w:vAlign w:val="center"/>
          </w:tcPr>
          <w:p>
            <w:pPr>
              <w:numPr>
                <w:ilvl w:val="0"/>
                <w:numId w:val="1"/>
              </w:numPr>
              <w:tabs>
                <w:tab w:val="clear" w:pos="420"/>
              </w:tabs>
              <w:spacing w:line="288" w:lineRule="auto"/>
              <w:jc w:val="center"/>
              <w:rPr>
                <w:rFonts w:ascii="宋体" w:hAnsi="宋体"/>
                <w:color w:val="auto"/>
                <w:szCs w:val="21"/>
                <w:highlight w:val="none"/>
              </w:rPr>
            </w:pPr>
          </w:p>
        </w:tc>
        <w:tc>
          <w:tcPr>
            <w:tcW w:w="2634" w:type="dxa"/>
            <w:vAlign w:val="center"/>
          </w:tcPr>
          <w:p>
            <w:pPr>
              <w:spacing w:line="288" w:lineRule="auto"/>
              <w:jc w:val="center"/>
              <w:rPr>
                <w:rFonts w:ascii="宋体" w:hAnsi="宋体"/>
                <w:color w:val="auto"/>
                <w:szCs w:val="21"/>
                <w:highlight w:val="none"/>
              </w:rPr>
            </w:pPr>
            <w:r>
              <w:rPr>
                <w:rFonts w:hint="eastAsia" w:ascii="宋体" w:hAnsi="宋体"/>
                <w:color w:val="auto"/>
                <w:szCs w:val="21"/>
                <w:highlight w:val="none"/>
              </w:rPr>
              <w:t>表面抗湿性</w:t>
            </w:r>
            <w:r>
              <w:rPr>
                <w:rFonts w:hint="eastAsia" w:ascii="宋体" w:hAnsi="宋体"/>
                <w:color w:val="auto"/>
                <w:szCs w:val="21"/>
                <w:highlight w:val="none"/>
                <w:vertAlign w:val="superscript"/>
              </w:rPr>
              <w:t>②</w:t>
            </w:r>
          </w:p>
        </w:tc>
        <w:tc>
          <w:tcPr>
            <w:tcW w:w="5214" w:type="dxa"/>
            <w:vAlign w:val="center"/>
          </w:tcPr>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GB/T</w:t>
            </w:r>
            <w:r>
              <w:rPr>
                <w:rFonts w:ascii="宋体" w:hAnsi="宋体"/>
                <w:color w:val="auto"/>
                <w:szCs w:val="21"/>
                <w:highlight w:val="none"/>
              </w:rPr>
              <w:t xml:space="preserve"> </w:t>
            </w:r>
            <w:r>
              <w:rPr>
                <w:rFonts w:hint="eastAsia" w:ascii="宋体" w:hAnsi="宋体"/>
                <w:color w:val="auto"/>
                <w:szCs w:val="21"/>
                <w:highlight w:val="none"/>
              </w:rPr>
              <w:t>4745-2012</w:t>
            </w:r>
          </w:p>
          <w:p>
            <w:pPr>
              <w:spacing w:line="288" w:lineRule="auto"/>
              <w:jc w:val="center"/>
              <w:rPr>
                <w:rFonts w:hint="eastAsia" w:ascii="宋体" w:hAnsi="宋体"/>
                <w:color w:val="auto"/>
                <w:szCs w:val="21"/>
                <w:highlight w:val="none"/>
              </w:rPr>
            </w:pPr>
            <w:r>
              <w:rPr>
                <w:rFonts w:hint="eastAsia" w:ascii="宋体" w:hAnsi="宋体"/>
                <w:color w:val="auto"/>
                <w:szCs w:val="21"/>
                <w:highlight w:val="none"/>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519" w:type="dxa"/>
            <w:gridSpan w:val="3"/>
            <w:vAlign w:val="center"/>
          </w:tcPr>
          <w:p>
            <w:pPr>
              <w:spacing w:line="288" w:lineRule="auto"/>
              <w:rPr>
                <w:rFonts w:ascii="宋体" w:hAnsi="宋体"/>
                <w:color w:val="auto"/>
                <w:szCs w:val="21"/>
                <w:highlight w:val="none"/>
              </w:rPr>
            </w:pPr>
            <w:r>
              <w:rPr>
                <w:rFonts w:hint="eastAsia" w:ascii="宋体" w:hAnsi="宋体"/>
                <w:color w:val="auto"/>
                <w:szCs w:val="21"/>
                <w:highlight w:val="none"/>
              </w:rPr>
              <w:t>备注：</w:t>
            </w:r>
          </w:p>
          <w:p>
            <w:pPr>
              <w:spacing w:line="288" w:lineRule="auto"/>
              <w:rPr>
                <w:rFonts w:ascii="宋体" w:hAnsi="宋体"/>
                <w:color w:val="auto"/>
                <w:szCs w:val="21"/>
                <w:highlight w:val="none"/>
              </w:rPr>
            </w:pPr>
            <w:r>
              <w:rPr>
                <w:rFonts w:hint="eastAsia" w:ascii="宋体" w:hAnsi="宋体"/>
                <w:color w:val="auto"/>
                <w:szCs w:val="21"/>
                <w:highlight w:val="none"/>
              </w:rPr>
              <w:t>A、①纺织品可分解致癌芳香胺染料检测采用GC/MS定性，出现阳性结果时用HPLC/DAD进一步确认和定量；②只考核洗前。</w:t>
            </w:r>
          </w:p>
          <w:p>
            <w:pPr>
              <w:spacing w:line="288" w:lineRule="auto"/>
              <w:rPr>
                <w:rFonts w:hint="default" w:ascii="宋体" w:hAnsi="宋体"/>
                <w:color w:val="auto"/>
                <w:szCs w:val="21"/>
                <w:highlight w:val="none"/>
              </w:rPr>
            </w:pPr>
            <w:r>
              <w:rPr>
                <w:rFonts w:hint="eastAsia" w:ascii="宋体" w:hAnsi="宋体"/>
                <w:color w:val="auto"/>
                <w:szCs w:val="21"/>
                <w:highlight w:val="none"/>
              </w:rPr>
              <w:t>B、若样品量不能满足所有试验要求，按照附件锐利性、绳带要求、纤维含量、可分解致癌芳香胺染料、甲醛含量、pH值、耐干摩擦色牢度、耐湿摩擦色牢度、耐光汗复合色牢度、耐光色牢度、静水压、表面抗湿性的取样顺序进行检测</w:t>
            </w:r>
            <w:r>
              <w:rPr>
                <w:rFonts w:hint="eastAsia" w:ascii="宋体" w:hAnsi="宋体"/>
                <w:color w:val="auto"/>
                <w:szCs w:val="21"/>
                <w:highlight w:val="none"/>
                <w:lang w:eastAsia="zh-CN"/>
              </w:rPr>
              <w:t>。</w:t>
            </w:r>
          </w:p>
          <w:p>
            <w:pPr>
              <w:spacing w:line="360" w:lineRule="exact"/>
            </w:pPr>
            <w:r>
              <w:rPr>
                <w:rFonts w:hint="eastAsia" w:ascii="宋体" w:hAnsi="宋体"/>
                <w:color w:val="auto"/>
                <w:szCs w:val="21"/>
                <w:highlight w:val="none"/>
              </w:rPr>
              <w:t>C</w:t>
            </w:r>
            <w:r>
              <w:rPr>
                <w:rFonts w:hint="eastAsia"/>
                <w:szCs w:val="21"/>
              </w:rPr>
              <w:t>、</w:t>
            </w:r>
            <w:r>
              <w:t>当样品形状、大小或重量等不能满足某个检测项目的样品需求时，该项目不予考核。</w:t>
            </w:r>
          </w:p>
          <w:p>
            <w:pPr>
              <w:spacing w:line="288" w:lineRule="auto"/>
              <w:rPr>
                <w:rFonts w:hint="eastAsia" w:ascii="宋体" w:hAnsi="宋体"/>
                <w:color w:val="auto"/>
                <w:szCs w:val="21"/>
                <w:highlight w:val="none"/>
              </w:rPr>
            </w:pPr>
            <w:r>
              <w:rPr>
                <w:rFonts w:hint="eastAsia" w:ascii="宋体" w:hAnsi="宋体"/>
                <w:color w:val="auto"/>
                <w:szCs w:val="21"/>
                <w:highlight w:val="none"/>
              </w:rPr>
              <w:t>D、当样品明示执行标准为</w:t>
            </w:r>
            <w:r>
              <w:rPr>
                <w:rFonts w:hint="eastAsia" w:ascii="宋体" w:hAnsi="宋体"/>
                <w:color w:val="auto"/>
                <w:szCs w:val="21"/>
                <w:highlight w:val="none"/>
                <w:lang w:val="en-US" w:eastAsia="zh-CN"/>
              </w:rPr>
              <w:t>推荐性</w:t>
            </w:r>
            <w:r>
              <w:rPr>
                <w:rFonts w:hint="eastAsia" w:ascii="宋体" w:hAnsi="宋体"/>
                <w:color w:val="auto"/>
                <w:szCs w:val="21"/>
                <w:highlight w:val="none"/>
              </w:rPr>
              <w:t>国家标准、行业标准时，标准中未要求的检测项目不予考核。</w:t>
            </w:r>
          </w:p>
          <w:p>
            <w:pPr>
              <w:spacing w:line="288" w:lineRule="auto"/>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E、织物纤维成分及含量仅考核明示标准为GB/T 31888-2015的产品且直接接触皮肤的部分。</w:t>
            </w:r>
          </w:p>
        </w:tc>
      </w:tr>
    </w:tbl>
    <w:p>
      <w:pPr>
        <w:spacing w:line="360" w:lineRule="auto"/>
        <w:ind w:firstLine="420" w:firstLineChars="200"/>
        <w:contextualSpacing/>
        <w:rPr>
          <w:rFonts w:ascii="宋体" w:hAnsi="宋体"/>
          <w:color w:val="000000"/>
          <w:szCs w:val="21"/>
          <w:highlight w:val="none"/>
        </w:rPr>
      </w:pPr>
      <w:r>
        <w:rPr>
          <w:rFonts w:hint="eastAsia" w:ascii="宋体" w:hAnsi="宋体"/>
          <w:color w:val="000000"/>
          <w:szCs w:val="21"/>
          <w:highlight w:val="none"/>
        </w:rPr>
        <w:t>凡是注日期的文件，其随后所有的修改单（不包括勘误的内容）或修订版不适用于本细则。凡是不注日期的文件，其最新版本适用于本细则。</w:t>
      </w:r>
    </w:p>
    <w:p>
      <w:pPr>
        <w:spacing w:line="360" w:lineRule="auto"/>
        <w:contextualSpacing/>
        <w:rPr>
          <w:rFonts w:ascii="黑体" w:hAnsi="黑体" w:eastAsia="黑体"/>
          <w:color w:val="000000"/>
          <w:szCs w:val="21"/>
          <w:highlight w:val="none"/>
        </w:rPr>
      </w:pPr>
      <w:r>
        <w:rPr>
          <w:rFonts w:hint="eastAsia" w:ascii="黑体" w:hAnsi="黑体" w:eastAsia="黑体"/>
          <w:color w:val="000000"/>
          <w:szCs w:val="21"/>
          <w:highlight w:val="none"/>
        </w:rPr>
        <w:t>3 判定原则</w:t>
      </w:r>
    </w:p>
    <w:p>
      <w:pPr>
        <w:spacing w:line="440" w:lineRule="exact"/>
        <w:rPr>
          <w:rFonts w:ascii="宋体" w:hAnsi="宋体"/>
          <w:color w:val="000000"/>
          <w:szCs w:val="21"/>
          <w:highlight w:val="none"/>
        </w:rPr>
      </w:pPr>
      <w:r>
        <w:rPr>
          <w:rFonts w:hint="eastAsia" w:ascii="宋体" w:hAnsi="宋体"/>
          <w:color w:val="000000"/>
          <w:szCs w:val="21"/>
          <w:highlight w:val="none"/>
        </w:rPr>
        <w:t>3.1依据标准</w:t>
      </w:r>
    </w:p>
    <w:p>
      <w:pPr>
        <w:spacing w:line="440" w:lineRule="exact"/>
        <w:ind w:firstLine="420" w:firstLineChars="200"/>
        <w:rPr>
          <w:rFonts w:ascii="宋体" w:hAnsi="宋体"/>
          <w:color w:val="000000"/>
          <w:szCs w:val="21"/>
          <w:highlight w:val="none"/>
        </w:rPr>
      </w:pPr>
      <w:bookmarkStart w:id="0" w:name="_Hlk77751671"/>
      <w:r>
        <w:rPr>
          <w:rFonts w:hint="eastAsia" w:ascii="宋体" w:hAnsi="宋体"/>
          <w:color w:val="000000"/>
          <w:szCs w:val="21"/>
          <w:highlight w:val="none"/>
        </w:rPr>
        <w:t>GB 18401-2010 国家纺织产品基本安全技术规范</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 31701-2015 婴幼儿及儿童纺织产品安全技术规范</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29862-2013 纺织品纤维含量的标识</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2660-2017 衬衫</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2662-2017 棉服装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2664-2017 男西服、大衣</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2665-2017 女西服、大衣</w:t>
      </w:r>
    </w:p>
    <w:p>
      <w:pPr>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GB/T 2666-2017 西裤</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14272-2011 羽绒服装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14272-2021 羽绒服装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21980-2017 专业运动服和防护用品</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22849-2014 针织 T 恤衫</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 xml:space="preserve">GB/T 22853-2009 针织运动服 </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22853-2019 针织运动服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22854-2009 针织学生服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23328-2009 机织学生服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26384-2011 针织棉服装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28468-2012 中小学生交通安全反光校服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31888-2015 中小学生校服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GB/T 32614-2016 户外运动服装 冲锋衣</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73005-2012 低含毛混纺及仿毛针织品</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73005-2021 低含毛混纺及仿毛针织品</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73018-2012 毛针织品</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73018-2021 毛针织品</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73020-2012 针织休闲服装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73020-2019 针织休闲服装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73026-2014 针织裙、裙套</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73029-2009 针织裤</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73029-2019 针织裤</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73053-2015 针织羽绒服装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73056-2016 针织西服</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73058-2017 针织大衣</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73061-2019 针织茄克衫</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73064-2019 针织西裤</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81004-2012 连衣裙、裙套</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81004-2022 连衣裙、裙套</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81006-2017 牛仔服装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81007-2012 单、夹服装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81007-2022单、夹服装</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81008-2011 茄克衫</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81008-2021 茄克衫</w:t>
      </w:r>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FZ/T 81010-2018 风衣</w:t>
      </w:r>
    </w:p>
    <w:p>
      <w:pPr>
        <w:spacing w:line="440" w:lineRule="exact"/>
        <w:ind w:firstLine="420" w:firstLineChars="200"/>
        <w:rPr>
          <w:rFonts w:ascii="宋体" w:hAnsi="宋体"/>
          <w:color w:val="000000"/>
          <w:szCs w:val="21"/>
          <w:highlight w:val="none"/>
        </w:rPr>
      </w:pPr>
      <w:bookmarkStart w:id="1" w:name="_Hlk61600707"/>
      <w:r>
        <w:rPr>
          <w:rFonts w:hint="eastAsia" w:ascii="宋体" w:hAnsi="宋体"/>
          <w:color w:val="000000"/>
          <w:szCs w:val="21"/>
          <w:highlight w:val="none"/>
        </w:rPr>
        <w:t>相关的法律、行政法规、部门规章、规范性文件</w:t>
      </w:r>
      <w:bookmarkEnd w:id="1"/>
    </w:p>
    <w:p>
      <w:pPr>
        <w:spacing w:line="440" w:lineRule="exact"/>
        <w:ind w:firstLine="420" w:firstLineChars="200"/>
        <w:rPr>
          <w:rFonts w:ascii="宋体" w:hAnsi="宋体"/>
          <w:color w:val="000000"/>
          <w:szCs w:val="21"/>
          <w:highlight w:val="none"/>
        </w:rPr>
      </w:pPr>
      <w:r>
        <w:rPr>
          <w:rFonts w:hint="eastAsia" w:ascii="宋体" w:hAnsi="宋体"/>
          <w:color w:val="000000"/>
          <w:szCs w:val="21"/>
          <w:highlight w:val="none"/>
        </w:rPr>
        <w:t>现行有效的企业标准、团体标准、地方标准及产品明示质量要求</w:t>
      </w:r>
      <w:bookmarkEnd w:id="0"/>
    </w:p>
    <w:p>
      <w:pPr>
        <w:spacing w:line="440" w:lineRule="exact"/>
        <w:outlineLvl w:val="0"/>
        <w:rPr>
          <w:rFonts w:ascii="宋体" w:hAnsi="宋体"/>
          <w:color w:val="000000"/>
          <w:szCs w:val="21"/>
          <w:highlight w:val="none"/>
        </w:rPr>
      </w:pPr>
      <w:r>
        <w:rPr>
          <w:rFonts w:hint="eastAsia" w:ascii="宋体" w:hAnsi="宋体"/>
          <w:color w:val="000000"/>
          <w:szCs w:val="21"/>
          <w:highlight w:val="none"/>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pStyle w:val="4"/>
        <w:adjustRightInd w:val="0"/>
        <w:snapToGrid w:val="0"/>
        <w:spacing w:line="460" w:lineRule="exact"/>
        <w:ind w:firstLine="420" w:firstLineChars="200"/>
        <w:rPr>
          <w:rFonts w:hAnsi="宋体"/>
          <w:color w:val="000000"/>
          <w:highlight w:val="none"/>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ED8951"/>
    <w:multiLevelType w:val="singleLevel"/>
    <w:tmpl w:val="C8ED8951"/>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val="1"/>
  <w:documentProtection w:enforcement="0"/>
  <w:defaultTabStop w:val="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02F21"/>
    <w:rsid w:val="000207F2"/>
    <w:rsid w:val="00025F66"/>
    <w:rsid w:val="000333A1"/>
    <w:rsid w:val="00051A44"/>
    <w:rsid w:val="0007099E"/>
    <w:rsid w:val="00072225"/>
    <w:rsid w:val="00072333"/>
    <w:rsid w:val="000730F0"/>
    <w:rsid w:val="00081CBD"/>
    <w:rsid w:val="000976DE"/>
    <w:rsid w:val="000A0FAB"/>
    <w:rsid w:val="000A41A7"/>
    <w:rsid w:val="000A4BAF"/>
    <w:rsid w:val="000A54AC"/>
    <w:rsid w:val="000C4D36"/>
    <w:rsid w:val="000D3222"/>
    <w:rsid w:val="000E2EFB"/>
    <w:rsid w:val="000E4210"/>
    <w:rsid w:val="000F5A7C"/>
    <w:rsid w:val="00101F12"/>
    <w:rsid w:val="00102D01"/>
    <w:rsid w:val="00107959"/>
    <w:rsid w:val="001328F3"/>
    <w:rsid w:val="00141046"/>
    <w:rsid w:val="00141300"/>
    <w:rsid w:val="001621E5"/>
    <w:rsid w:val="00162FBB"/>
    <w:rsid w:val="00172A27"/>
    <w:rsid w:val="001809DD"/>
    <w:rsid w:val="00191A03"/>
    <w:rsid w:val="00197A62"/>
    <w:rsid w:val="001C59D9"/>
    <w:rsid w:val="001D696C"/>
    <w:rsid w:val="001E062C"/>
    <w:rsid w:val="001F0120"/>
    <w:rsid w:val="001F2D82"/>
    <w:rsid w:val="001F6661"/>
    <w:rsid w:val="002023D8"/>
    <w:rsid w:val="002156D7"/>
    <w:rsid w:val="00221670"/>
    <w:rsid w:val="002261B3"/>
    <w:rsid w:val="00232530"/>
    <w:rsid w:val="00242AE8"/>
    <w:rsid w:val="00252BDD"/>
    <w:rsid w:val="00253318"/>
    <w:rsid w:val="00253624"/>
    <w:rsid w:val="00264496"/>
    <w:rsid w:val="00272789"/>
    <w:rsid w:val="0029256A"/>
    <w:rsid w:val="002B5839"/>
    <w:rsid w:val="002C2BEC"/>
    <w:rsid w:val="002C75D6"/>
    <w:rsid w:val="002D1038"/>
    <w:rsid w:val="002D3E59"/>
    <w:rsid w:val="002D7F8A"/>
    <w:rsid w:val="002E0D1D"/>
    <w:rsid w:val="002F3512"/>
    <w:rsid w:val="002F7D66"/>
    <w:rsid w:val="00312781"/>
    <w:rsid w:val="003203A3"/>
    <w:rsid w:val="00322DE9"/>
    <w:rsid w:val="00327721"/>
    <w:rsid w:val="00333425"/>
    <w:rsid w:val="00333B39"/>
    <w:rsid w:val="00336343"/>
    <w:rsid w:val="003452FA"/>
    <w:rsid w:val="003739CF"/>
    <w:rsid w:val="00392DB3"/>
    <w:rsid w:val="003A0765"/>
    <w:rsid w:val="003A2D0B"/>
    <w:rsid w:val="003A708D"/>
    <w:rsid w:val="003B1A1C"/>
    <w:rsid w:val="003B5A20"/>
    <w:rsid w:val="003B68D4"/>
    <w:rsid w:val="003C388C"/>
    <w:rsid w:val="003D27E5"/>
    <w:rsid w:val="003D76D5"/>
    <w:rsid w:val="003E0479"/>
    <w:rsid w:val="003E53F3"/>
    <w:rsid w:val="003E5D69"/>
    <w:rsid w:val="003E61BF"/>
    <w:rsid w:val="003F661D"/>
    <w:rsid w:val="004032C9"/>
    <w:rsid w:val="00404313"/>
    <w:rsid w:val="0041131F"/>
    <w:rsid w:val="00414B68"/>
    <w:rsid w:val="004322B9"/>
    <w:rsid w:val="00433732"/>
    <w:rsid w:val="00445B99"/>
    <w:rsid w:val="00445E86"/>
    <w:rsid w:val="004552FF"/>
    <w:rsid w:val="00461158"/>
    <w:rsid w:val="00461F91"/>
    <w:rsid w:val="004733DD"/>
    <w:rsid w:val="00474E04"/>
    <w:rsid w:val="00483A8A"/>
    <w:rsid w:val="00485EFC"/>
    <w:rsid w:val="004918E5"/>
    <w:rsid w:val="00496EDE"/>
    <w:rsid w:val="004A7EA6"/>
    <w:rsid w:val="004B14BE"/>
    <w:rsid w:val="004B2E83"/>
    <w:rsid w:val="004B7F15"/>
    <w:rsid w:val="004C5488"/>
    <w:rsid w:val="004C6F06"/>
    <w:rsid w:val="004D0C5A"/>
    <w:rsid w:val="004E1396"/>
    <w:rsid w:val="004F74BA"/>
    <w:rsid w:val="004F7D38"/>
    <w:rsid w:val="00500EC9"/>
    <w:rsid w:val="0051079E"/>
    <w:rsid w:val="0051585B"/>
    <w:rsid w:val="00522C80"/>
    <w:rsid w:val="00561895"/>
    <w:rsid w:val="00563EBC"/>
    <w:rsid w:val="00586C3F"/>
    <w:rsid w:val="005B6A73"/>
    <w:rsid w:val="005C2A4C"/>
    <w:rsid w:val="005C75C5"/>
    <w:rsid w:val="005D12A0"/>
    <w:rsid w:val="005D3A4C"/>
    <w:rsid w:val="005D46D0"/>
    <w:rsid w:val="005D4B51"/>
    <w:rsid w:val="005F2C3F"/>
    <w:rsid w:val="00616361"/>
    <w:rsid w:val="006306ED"/>
    <w:rsid w:val="00633DC0"/>
    <w:rsid w:val="0063508E"/>
    <w:rsid w:val="006459CD"/>
    <w:rsid w:val="006469D1"/>
    <w:rsid w:val="00651276"/>
    <w:rsid w:val="00667BB9"/>
    <w:rsid w:val="00674A04"/>
    <w:rsid w:val="0067594B"/>
    <w:rsid w:val="0068601A"/>
    <w:rsid w:val="0069290C"/>
    <w:rsid w:val="006A4374"/>
    <w:rsid w:val="006C7A26"/>
    <w:rsid w:val="006D31C0"/>
    <w:rsid w:val="006D7111"/>
    <w:rsid w:val="006D7FF6"/>
    <w:rsid w:val="006E1171"/>
    <w:rsid w:val="006F069F"/>
    <w:rsid w:val="006F0971"/>
    <w:rsid w:val="006F5D50"/>
    <w:rsid w:val="00702DFA"/>
    <w:rsid w:val="007078EC"/>
    <w:rsid w:val="00714AA5"/>
    <w:rsid w:val="00715564"/>
    <w:rsid w:val="0072334C"/>
    <w:rsid w:val="00726502"/>
    <w:rsid w:val="00782957"/>
    <w:rsid w:val="00784993"/>
    <w:rsid w:val="007A084F"/>
    <w:rsid w:val="007A21F2"/>
    <w:rsid w:val="007B1D6E"/>
    <w:rsid w:val="007B54AC"/>
    <w:rsid w:val="007B54C7"/>
    <w:rsid w:val="007D35E2"/>
    <w:rsid w:val="00803933"/>
    <w:rsid w:val="00813B83"/>
    <w:rsid w:val="0083019C"/>
    <w:rsid w:val="00833479"/>
    <w:rsid w:val="00842C96"/>
    <w:rsid w:val="00844327"/>
    <w:rsid w:val="00854F81"/>
    <w:rsid w:val="008705F4"/>
    <w:rsid w:val="008873A0"/>
    <w:rsid w:val="008932D3"/>
    <w:rsid w:val="00895BEA"/>
    <w:rsid w:val="008A3497"/>
    <w:rsid w:val="008B0266"/>
    <w:rsid w:val="008B1872"/>
    <w:rsid w:val="008D5B57"/>
    <w:rsid w:val="008E392C"/>
    <w:rsid w:val="008F1C83"/>
    <w:rsid w:val="00903E8C"/>
    <w:rsid w:val="009059E4"/>
    <w:rsid w:val="00910B1B"/>
    <w:rsid w:val="00911823"/>
    <w:rsid w:val="00913F2A"/>
    <w:rsid w:val="00917A54"/>
    <w:rsid w:val="00922A24"/>
    <w:rsid w:val="0093220C"/>
    <w:rsid w:val="00944CA8"/>
    <w:rsid w:val="009511D8"/>
    <w:rsid w:val="00960983"/>
    <w:rsid w:val="00962935"/>
    <w:rsid w:val="009670DA"/>
    <w:rsid w:val="00971143"/>
    <w:rsid w:val="0097307A"/>
    <w:rsid w:val="009756BB"/>
    <w:rsid w:val="00983059"/>
    <w:rsid w:val="009905B0"/>
    <w:rsid w:val="009A5000"/>
    <w:rsid w:val="00A0085E"/>
    <w:rsid w:val="00A03D86"/>
    <w:rsid w:val="00A150AD"/>
    <w:rsid w:val="00A15604"/>
    <w:rsid w:val="00A172BF"/>
    <w:rsid w:val="00A26D12"/>
    <w:rsid w:val="00A43553"/>
    <w:rsid w:val="00A9138D"/>
    <w:rsid w:val="00AC01CE"/>
    <w:rsid w:val="00AC5391"/>
    <w:rsid w:val="00AC7F6A"/>
    <w:rsid w:val="00AD46C3"/>
    <w:rsid w:val="00AE1FEB"/>
    <w:rsid w:val="00AE36CF"/>
    <w:rsid w:val="00AF0B23"/>
    <w:rsid w:val="00AF58F3"/>
    <w:rsid w:val="00AF6D95"/>
    <w:rsid w:val="00B01659"/>
    <w:rsid w:val="00B03C24"/>
    <w:rsid w:val="00B11FBD"/>
    <w:rsid w:val="00B124EB"/>
    <w:rsid w:val="00B15549"/>
    <w:rsid w:val="00B20C01"/>
    <w:rsid w:val="00B21DE1"/>
    <w:rsid w:val="00B567D9"/>
    <w:rsid w:val="00B715BE"/>
    <w:rsid w:val="00B80C1F"/>
    <w:rsid w:val="00B81E83"/>
    <w:rsid w:val="00B82B57"/>
    <w:rsid w:val="00B968C1"/>
    <w:rsid w:val="00BA76AE"/>
    <w:rsid w:val="00BB3455"/>
    <w:rsid w:val="00BC0AD6"/>
    <w:rsid w:val="00BD2D3B"/>
    <w:rsid w:val="00BD50D9"/>
    <w:rsid w:val="00BD5CCD"/>
    <w:rsid w:val="00BD75AA"/>
    <w:rsid w:val="00BF2B8C"/>
    <w:rsid w:val="00C12A9D"/>
    <w:rsid w:val="00C206F4"/>
    <w:rsid w:val="00C26074"/>
    <w:rsid w:val="00C26431"/>
    <w:rsid w:val="00C35C35"/>
    <w:rsid w:val="00C40522"/>
    <w:rsid w:val="00C644DC"/>
    <w:rsid w:val="00C825C9"/>
    <w:rsid w:val="00C83B0A"/>
    <w:rsid w:val="00CB2C11"/>
    <w:rsid w:val="00CB5523"/>
    <w:rsid w:val="00CD479E"/>
    <w:rsid w:val="00CE1E0C"/>
    <w:rsid w:val="00CE277E"/>
    <w:rsid w:val="00CE4663"/>
    <w:rsid w:val="00CE7B7E"/>
    <w:rsid w:val="00CF0188"/>
    <w:rsid w:val="00CF2542"/>
    <w:rsid w:val="00D03F8C"/>
    <w:rsid w:val="00D0638D"/>
    <w:rsid w:val="00D141FE"/>
    <w:rsid w:val="00D23B91"/>
    <w:rsid w:val="00D44421"/>
    <w:rsid w:val="00D50E25"/>
    <w:rsid w:val="00D51BA3"/>
    <w:rsid w:val="00D5215C"/>
    <w:rsid w:val="00D56867"/>
    <w:rsid w:val="00D66A7D"/>
    <w:rsid w:val="00D6747F"/>
    <w:rsid w:val="00D71DA5"/>
    <w:rsid w:val="00D757B6"/>
    <w:rsid w:val="00D81C68"/>
    <w:rsid w:val="00D83CC7"/>
    <w:rsid w:val="00D84249"/>
    <w:rsid w:val="00D93FE3"/>
    <w:rsid w:val="00DB0572"/>
    <w:rsid w:val="00DB1D7C"/>
    <w:rsid w:val="00DB2498"/>
    <w:rsid w:val="00DC5287"/>
    <w:rsid w:val="00DD3ED8"/>
    <w:rsid w:val="00DE3069"/>
    <w:rsid w:val="00DF12C6"/>
    <w:rsid w:val="00DF34A6"/>
    <w:rsid w:val="00E02A7F"/>
    <w:rsid w:val="00E048B9"/>
    <w:rsid w:val="00E07880"/>
    <w:rsid w:val="00E14FD4"/>
    <w:rsid w:val="00E20873"/>
    <w:rsid w:val="00E20E63"/>
    <w:rsid w:val="00E25F3D"/>
    <w:rsid w:val="00E5217F"/>
    <w:rsid w:val="00E55366"/>
    <w:rsid w:val="00E6268A"/>
    <w:rsid w:val="00E702AE"/>
    <w:rsid w:val="00E82621"/>
    <w:rsid w:val="00E870E4"/>
    <w:rsid w:val="00E9040A"/>
    <w:rsid w:val="00EB0E64"/>
    <w:rsid w:val="00EB5855"/>
    <w:rsid w:val="00ED17F3"/>
    <w:rsid w:val="00ED733A"/>
    <w:rsid w:val="00ED7731"/>
    <w:rsid w:val="00EE1EBD"/>
    <w:rsid w:val="00EF304C"/>
    <w:rsid w:val="00F215D4"/>
    <w:rsid w:val="00F27C74"/>
    <w:rsid w:val="00F569E1"/>
    <w:rsid w:val="00F6031A"/>
    <w:rsid w:val="00F65FFC"/>
    <w:rsid w:val="00F70682"/>
    <w:rsid w:val="00F77C9A"/>
    <w:rsid w:val="00F77E39"/>
    <w:rsid w:val="00F807C8"/>
    <w:rsid w:val="00F809B9"/>
    <w:rsid w:val="00F87E97"/>
    <w:rsid w:val="00F9101F"/>
    <w:rsid w:val="00F95057"/>
    <w:rsid w:val="00FA3974"/>
    <w:rsid w:val="00FA3C73"/>
    <w:rsid w:val="00FB576C"/>
    <w:rsid w:val="00FB6115"/>
    <w:rsid w:val="00FC211A"/>
    <w:rsid w:val="00FD2AA6"/>
    <w:rsid w:val="00FE7E8A"/>
    <w:rsid w:val="00FF0DBB"/>
    <w:rsid w:val="029052FF"/>
    <w:rsid w:val="0523112E"/>
    <w:rsid w:val="058420D4"/>
    <w:rsid w:val="063532A4"/>
    <w:rsid w:val="087451E7"/>
    <w:rsid w:val="0C0D34C1"/>
    <w:rsid w:val="0E593352"/>
    <w:rsid w:val="0F6B359F"/>
    <w:rsid w:val="0FC32E16"/>
    <w:rsid w:val="11B25E26"/>
    <w:rsid w:val="11F62E21"/>
    <w:rsid w:val="13CE245D"/>
    <w:rsid w:val="160F7EF6"/>
    <w:rsid w:val="1649502A"/>
    <w:rsid w:val="173E5229"/>
    <w:rsid w:val="187A37A5"/>
    <w:rsid w:val="188056DA"/>
    <w:rsid w:val="19517DF8"/>
    <w:rsid w:val="1AA50A05"/>
    <w:rsid w:val="1BD812BE"/>
    <w:rsid w:val="1C496BB4"/>
    <w:rsid w:val="1D0F3847"/>
    <w:rsid w:val="1E320B00"/>
    <w:rsid w:val="1F0331D0"/>
    <w:rsid w:val="204626E6"/>
    <w:rsid w:val="24C519AF"/>
    <w:rsid w:val="25CF4A56"/>
    <w:rsid w:val="2BA440A5"/>
    <w:rsid w:val="2D273B50"/>
    <w:rsid w:val="2E9641A3"/>
    <w:rsid w:val="334C12DB"/>
    <w:rsid w:val="34070794"/>
    <w:rsid w:val="352007D7"/>
    <w:rsid w:val="382A2F88"/>
    <w:rsid w:val="3A6F5B93"/>
    <w:rsid w:val="3AC13E86"/>
    <w:rsid w:val="3CED77C6"/>
    <w:rsid w:val="3D970A33"/>
    <w:rsid w:val="3E7C38C4"/>
    <w:rsid w:val="3F1F210A"/>
    <w:rsid w:val="3FA100C3"/>
    <w:rsid w:val="41BE4D1E"/>
    <w:rsid w:val="45EF000C"/>
    <w:rsid w:val="4949341B"/>
    <w:rsid w:val="49C1352F"/>
    <w:rsid w:val="4B5D2CD5"/>
    <w:rsid w:val="4F4D221F"/>
    <w:rsid w:val="4F8B450F"/>
    <w:rsid w:val="50D13D54"/>
    <w:rsid w:val="51EC0670"/>
    <w:rsid w:val="55E60710"/>
    <w:rsid w:val="56C3344C"/>
    <w:rsid w:val="56DD4418"/>
    <w:rsid w:val="58777444"/>
    <w:rsid w:val="5B19615E"/>
    <w:rsid w:val="5BF15902"/>
    <w:rsid w:val="5BF34234"/>
    <w:rsid w:val="5CE80979"/>
    <w:rsid w:val="5D7E65B4"/>
    <w:rsid w:val="5E21225D"/>
    <w:rsid w:val="5EB852BA"/>
    <w:rsid w:val="62E651C4"/>
    <w:rsid w:val="64896320"/>
    <w:rsid w:val="651E49ED"/>
    <w:rsid w:val="66214CD1"/>
    <w:rsid w:val="691C5BDB"/>
    <w:rsid w:val="6C300ACE"/>
    <w:rsid w:val="710C6E29"/>
    <w:rsid w:val="73401124"/>
    <w:rsid w:val="79B31B5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unhideWhenUsed/>
    <w:qFormat/>
    <w:uiPriority w:val="99"/>
    <w:pPr>
      <w:jc w:val="left"/>
    </w:pPr>
  </w:style>
  <w:style w:type="paragraph" w:styleId="4">
    <w:name w:val="Plain Text"/>
    <w:basedOn w:val="1"/>
    <w:link w:val="16"/>
    <w:qFormat/>
    <w:uiPriority w:val="0"/>
    <w:rPr>
      <w:rFonts w:ascii="宋体" w:hAnsi="Courier New"/>
      <w:szCs w:val="21"/>
    </w:rPr>
  </w:style>
  <w:style w:type="paragraph" w:styleId="5">
    <w:name w:val="Balloon Text"/>
    <w:basedOn w:val="1"/>
    <w:link w:val="12"/>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5"/>
    <w:qFormat/>
    <w:uiPriority w:val="0"/>
    <w:pPr>
      <w:snapToGrid w:val="0"/>
      <w:spacing w:line="440" w:lineRule="exact"/>
      <w:ind w:firstLine="420" w:firstLineChars="200"/>
    </w:pPr>
    <w:rPr>
      <w:rFonts w:ascii="宋体" w:hAnsi="宋体"/>
      <w:szCs w:val="21"/>
    </w:rPr>
  </w:style>
  <w:style w:type="character" w:styleId="10">
    <w:name w:val="page number"/>
    <w:basedOn w:val="9"/>
    <w:qFormat/>
    <w:uiPriority w:val="0"/>
  </w:style>
  <w:style w:type="character" w:customStyle="1" w:styleId="12">
    <w:name w:val="批注框文本 Char"/>
    <w:link w:val="5"/>
    <w:semiHidden/>
    <w:qFormat/>
    <w:uiPriority w:val="99"/>
    <w:rPr>
      <w:kern w:val="2"/>
      <w:sz w:val="18"/>
      <w:szCs w:val="18"/>
    </w:rPr>
  </w:style>
  <w:style w:type="character" w:customStyle="1" w:styleId="13">
    <w:name w:val="纯文本 Char1"/>
    <w:qFormat/>
    <w:uiPriority w:val="0"/>
    <w:rPr>
      <w:rFonts w:ascii="宋体" w:hAnsi="Courier New" w:cs="Courier New"/>
      <w:kern w:val="2"/>
      <w:sz w:val="21"/>
      <w:szCs w:val="21"/>
    </w:rPr>
  </w:style>
  <w:style w:type="character" w:customStyle="1" w:styleId="14">
    <w:name w:val="页脚 Char"/>
    <w:link w:val="6"/>
    <w:qFormat/>
    <w:uiPriority w:val="99"/>
    <w:rPr>
      <w:kern w:val="2"/>
      <w:sz w:val="18"/>
      <w:szCs w:val="18"/>
    </w:rPr>
  </w:style>
  <w:style w:type="character" w:customStyle="1" w:styleId="15">
    <w:name w:val="正文文本缩进 3 Char"/>
    <w:link w:val="8"/>
    <w:qFormat/>
    <w:uiPriority w:val="0"/>
    <w:rPr>
      <w:rFonts w:ascii="宋体" w:hAnsi="宋体"/>
      <w:kern w:val="2"/>
      <w:sz w:val="21"/>
      <w:szCs w:val="21"/>
    </w:rPr>
  </w:style>
  <w:style w:type="character" w:customStyle="1" w:styleId="16">
    <w:name w:val="纯文本 Char"/>
    <w:link w:val="4"/>
    <w:qFormat/>
    <w:uiPriority w:val="0"/>
    <w:rPr>
      <w:rFonts w:ascii="宋体" w:hAnsi="Courier New" w:cs="Courier New"/>
      <w:kern w:val="2"/>
      <w:sz w:val="21"/>
      <w:szCs w:val="21"/>
    </w:rPr>
  </w:style>
  <w:style w:type="character" w:customStyle="1" w:styleId="17">
    <w:name w:val="页眉 Char"/>
    <w:link w:val="7"/>
    <w:qFormat/>
    <w:uiPriority w:val="99"/>
    <w:rPr>
      <w:kern w:val="2"/>
      <w:sz w:val="18"/>
      <w:szCs w:val="18"/>
    </w:rPr>
  </w:style>
  <w:style w:type="character" w:customStyle="1" w:styleId="18">
    <w:name w:val="表格 Char"/>
    <w:link w:val="19"/>
    <w:qFormat/>
    <w:uiPriority w:val="0"/>
    <w:rPr>
      <w:rFonts w:ascii="仿宋_GB2312" w:cs="宋体"/>
      <w:color w:val="000000"/>
      <w:sz w:val="21"/>
      <w:szCs w:val="24"/>
    </w:rPr>
  </w:style>
  <w:style w:type="paragraph" w:customStyle="1" w:styleId="19">
    <w:name w:val="表格"/>
    <w:basedOn w:val="1"/>
    <w:link w:val="18"/>
    <w:qFormat/>
    <w:uiPriority w:val="0"/>
    <w:pPr>
      <w:adjustRightInd w:val="0"/>
      <w:snapToGrid w:val="0"/>
      <w:jc w:val="center"/>
    </w:pPr>
    <w:rPr>
      <w:rFonts w:ascii="仿宋_GB2312"/>
      <w:color w:val="000000"/>
      <w:kern w:val="0"/>
    </w:rPr>
  </w:style>
  <w:style w:type="paragraph" w:customStyle="1" w:styleId="20">
    <w:name w:val="正文+宋体"/>
    <w:basedOn w:val="1"/>
    <w:qFormat/>
    <w:uiPriority w:val="99"/>
  </w:style>
  <w:style w:type="paragraph" w:customStyle="1" w:styleId="21">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1588</Words>
  <Characters>2572</Characters>
  <Lines>21</Lines>
  <Paragraphs>5</Paragraphs>
  <TotalTime>0</TotalTime>
  <ScaleCrop>false</ScaleCrop>
  <LinksUpToDate>false</LinksUpToDate>
  <CharactersWithSpaces>2706</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2021-12-27T09:17:00Z</dcterms:created>
  <dc:creator>Legend User</dc:creator>
  <cp:lastModifiedBy>张健</cp:lastModifiedBy>
  <cp:lastPrinted>2022-02-14T08:53:00Z</cp:lastPrinted>
  <dcterms:modified xsi:type="dcterms:W3CDTF">2024-01-08T07:09:23Z</dcterms:modified>
  <dc:title>××产品质量监督抽查实施细则</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71EED798D7614C89AD03FB581FC11771</vt:lpwstr>
  </property>
</Properties>
</file>