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Times New Roman" w:hAnsi="Times New Roman" w:eastAsia="方正小标宋简体" w:cs="Times New Roman"/>
          <w:i w:val="0"/>
          <w:iCs w:val="0"/>
          <w:color w:val="000000"/>
          <w:sz w:val="32"/>
          <w:szCs w:val="32"/>
          <w:lang w:val="en-US" w:eastAsia="zh-CN"/>
        </w:rPr>
      </w:pPr>
      <w:r>
        <w:rPr>
          <w:rFonts w:hint="eastAsia" w:ascii="Times New Roman" w:hAnsi="Times New Roman" w:eastAsia="方正小标宋简体" w:cs="Times New Roman"/>
          <w:i w:val="0"/>
          <w:iCs w:val="0"/>
          <w:color w:val="000000"/>
          <w:sz w:val="32"/>
          <w:szCs w:val="32"/>
          <w:lang w:val="en-US" w:eastAsia="zh-CN"/>
        </w:rPr>
        <w:t>重庆市钢结构防火涂料产品质量监督抽查实施细则</w:t>
      </w:r>
    </w:p>
    <w:p>
      <w:pPr>
        <w:adjustRightInd w:val="0"/>
        <w:snapToGrid w:val="0"/>
        <w:spacing w:line="440" w:lineRule="exact"/>
        <w:jc w:val="center"/>
        <w:rPr>
          <w:rFonts w:hint="eastAsia" w:ascii="Times New Roman" w:hAnsi="Times New Roman" w:eastAsia="方正小标宋简体" w:cs="Times New Roman"/>
          <w:i w:val="0"/>
          <w:iCs w:val="0"/>
          <w:color w:val="000000"/>
          <w:sz w:val="32"/>
          <w:szCs w:val="32"/>
        </w:rPr>
      </w:pPr>
      <w:r>
        <w:rPr>
          <w:rFonts w:hint="eastAsia" w:ascii="Times New Roman" w:hAnsi="Times New Roman" w:eastAsia="方正小标宋简体" w:cs="Times New Roman"/>
          <w:i w:val="0"/>
          <w:iCs w:val="0"/>
          <w:color w:val="000000"/>
          <w:sz w:val="32"/>
          <w:szCs w:val="32"/>
        </w:rPr>
        <w:t>（2025</w:t>
      </w:r>
      <w:r>
        <w:rPr>
          <w:rFonts w:hint="eastAsia" w:eastAsia="方正小标宋简体" w:cs="Times New Roman"/>
          <w:i w:val="0"/>
          <w:iCs w:val="0"/>
          <w:color w:val="000000"/>
          <w:sz w:val="32"/>
          <w:szCs w:val="32"/>
          <w:lang w:val="en-US" w:eastAsia="zh-CN"/>
        </w:rPr>
        <w:t>年</w:t>
      </w:r>
      <w:r>
        <w:rPr>
          <w:rFonts w:hint="eastAsia" w:ascii="Times New Roman" w:hAnsi="Times New Roman" w:eastAsia="方正小标宋简体" w:cs="Times New Roman"/>
          <w:i w:val="0"/>
          <w:iCs w:val="0"/>
          <w:color w:val="000000"/>
          <w:sz w:val="32"/>
          <w:szCs w:val="32"/>
          <w:lang w:val="en-US" w:eastAsia="zh-CN"/>
        </w:rPr>
        <w:t>版</w:t>
      </w:r>
      <w:r>
        <w:rPr>
          <w:rFonts w:hint="eastAsia" w:ascii="Times New Roman" w:hAnsi="Times New Roman" w:eastAsia="方正小标宋简体" w:cs="Times New Roman"/>
          <w:i w:val="0"/>
          <w:iCs w:val="0"/>
          <w:color w:val="000000"/>
          <w:sz w:val="32"/>
          <w:szCs w:val="32"/>
        </w:rPr>
        <w:t>）</w:t>
      </w: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rFonts w:hint="eastAsia"/>
          <w:color w:val="000000"/>
          <w:szCs w:val="21"/>
        </w:rPr>
      </w:pPr>
      <w:r>
        <w:rPr>
          <w:rFonts w:hint="eastAsia"/>
          <w:color w:val="000000"/>
          <w:szCs w:val="21"/>
        </w:rPr>
        <w:t>以随机抽样的方式在被抽样生产者、销售者的待销产品中抽取。</w:t>
      </w:r>
    </w:p>
    <w:p>
      <w:pPr>
        <w:snapToGrid w:val="0"/>
        <w:spacing w:line="440" w:lineRule="exact"/>
        <w:ind w:firstLine="420" w:firstLineChars="200"/>
        <w:rPr>
          <w:rFonts w:hint="eastAsia"/>
          <w:color w:val="000000"/>
          <w:szCs w:val="21"/>
        </w:rPr>
      </w:pPr>
      <w:r>
        <w:rPr>
          <w:rFonts w:hint="eastAsia"/>
          <w:color w:val="000000"/>
          <w:szCs w:val="21"/>
        </w:rPr>
        <w:t>随机数一般可使用随机数表等方法产生。</w:t>
      </w:r>
    </w:p>
    <w:p>
      <w:pPr>
        <w:snapToGrid w:val="0"/>
        <w:spacing w:line="440" w:lineRule="exact"/>
        <w:ind w:firstLine="420" w:firstLineChars="200"/>
        <w:rPr>
          <w:rFonts w:hint="eastAsia"/>
          <w:color w:val="auto"/>
          <w:szCs w:val="21"/>
          <w:highlight w:val="none"/>
        </w:rPr>
      </w:pPr>
      <w:bookmarkStart w:id="0" w:name="OLE_LINK3"/>
      <w:r>
        <w:rPr>
          <w:rFonts w:hint="eastAsia"/>
          <w:color w:val="auto"/>
          <w:szCs w:val="21"/>
          <w:highlight w:val="none"/>
          <w:lang w:val="en-US" w:eastAsia="zh-CN"/>
        </w:rPr>
        <w:t>对于非膨胀型钢结构防火涂料</w:t>
      </w:r>
      <w:r>
        <w:rPr>
          <w:rFonts w:hint="eastAsia"/>
          <w:color w:val="auto"/>
          <w:szCs w:val="21"/>
          <w:highlight w:val="none"/>
        </w:rPr>
        <w:t>每批次产品</w:t>
      </w:r>
      <w:bookmarkStart w:id="1" w:name="OLE_LINK5"/>
      <w:r>
        <w:rPr>
          <w:rFonts w:hint="eastAsia"/>
          <w:color w:val="auto"/>
          <w:szCs w:val="21"/>
          <w:highlight w:val="none"/>
        </w:rPr>
        <w:t>抽取样品</w:t>
      </w:r>
      <w:r>
        <w:rPr>
          <w:rFonts w:hint="eastAsia"/>
          <w:color w:val="auto"/>
          <w:szCs w:val="21"/>
          <w:highlight w:val="none"/>
          <w:lang w:val="en-US" w:eastAsia="zh-CN"/>
        </w:rPr>
        <w:t>2袋（每袋不少于20kg）</w:t>
      </w:r>
      <w:r>
        <w:rPr>
          <w:rFonts w:hint="eastAsia"/>
          <w:color w:val="auto"/>
          <w:szCs w:val="21"/>
          <w:highlight w:val="none"/>
        </w:rPr>
        <w:t>，其中</w:t>
      </w:r>
      <w:r>
        <w:rPr>
          <w:rFonts w:hint="eastAsia"/>
          <w:color w:val="auto"/>
          <w:szCs w:val="21"/>
          <w:highlight w:val="none"/>
          <w:lang w:val="en-US" w:eastAsia="zh-CN"/>
        </w:rPr>
        <w:t>1袋</w:t>
      </w:r>
      <w:r>
        <w:rPr>
          <w:rFonts w:hint="eastAsia"/>
          <w:color w:val="auto"/>
          <w:szCs w:val="21"/>
          <w:highlight w:val="none"/>
        </w:rPr>
        <w:t>作为检验样品，</w:t>
      </w:r>
      <w:r>
        <w:rPr>
          <w:rFonts w:hint="eastAsia"/>
          <w:color w:val="auto"/>
          <w:szCs w:val="21"/>
          <w:highlight w:val="none"/>
          <w:lang w:val="en-US" w:eastAsia="zh-CN"/>
        </w:rPr>
        <w:t>1袋</w:t>
      </w:r>
      <w:r>
        <w:rPr>
          <w:rFonts w:hint="eastAsia"/>
          <w:color w:val="auto"/>
          <w:szCs w:val="21"/>
          <w:highlight w:val="none"/>
        </w:rPr>
        <w:t>作为备用样品。</w:t>
      </w:r>
    </w:p>
    <w:bookmarkEnd w:id="0"/>
    <w:bookmarkEnd w:id="1"/>
    <w:p>
      <w:pPr>
        <w:snapToGrid w:val="0"/>
        <w:spacing w:line="440" w:lineRule="exact"/>
        <w:ind w:firstLine="420" w:firstLineChars="200"/>
        <w:rPr>
          <w:rFonts w:hint="eastAsia"/>
          <w:color w:val="auto"/>
          <w:szCs w:val="21"/>
          <w:highlight w:val="none"/>
        </w:rPr>
      </w:pPr>
      <w:bookmarkStart w:id="2" w:name="OLE_LINK6"/>
      <w:r>
        <w:rPr>
          <w:rFonts w:hint="eastAsia"/>
          <w:color w:val="auto"/>
          <w:szCs w:val="21"/>
          <w:highlight w:val="none"/>
          <w:lang w:val="en-US" w:eastAsia="zh-CN"/>
        </w:rPr>
        <w:t>对于膨胀型钢结构防火涂料</w:t>
      </w:r>
      <w:r>
        <w:rPr>
          <w:rFonts w:hint="eastAsia"/>
          <w:color w:val="auto"/>
          <w:szCs w:val="21"/>
          <w:highlight w:val="none"/>
        </w:rPr>
        <w:t>每批次产品抽取样品</w:t>
      </w:r>
      <w:r>
        <w:rPr>
          <w:rFonts w:hint="eastAsia"/>
          <w:color w:val="auto"/>
          <w:szCs w:val="21"/>
          <w:highlight w:val="none"/>
          <w:lang w:val="en-US" w:eastAsia="zh-CN"/>
        </w:rPr>
        <w:t>2桶（每</w:t>
      </w:r>
      <w:bookmarkStart w:id="3" w:name="OLE_LINK4"/>
      <w:r>
        <w:rPr>
          <w:rFonts w:hint="eastAsia"/>
          <w:color w:val="auto"/>
          <w:szCs w:val="21"/>
          <w:highlight w:val="none"/>
          <w:lang w:val="en-US" w:eastAsia="zh-CN"/>
        </w:rPr>
        <w:t>桶</w:t>
      </w:r>
      <w:bookmarkEnd w:id="3"/>
      <w:r>
        <w:rPr>
          <w:rFonts w:hint="eastAsia"/>
          <w:color w:val="auto"/>
          <w:szCs w:val="21"/>
          <w:highlight w:val="none"/>
          <w:lang w:val="en-US" w:eastAsia="zh-CN"/>
        </w:rPr>
        <w:t>不少于15L或20kg）</w:t>
      </w:r>
      <w:r>
        <w:rPr>
          <w:rFonts w:hint="eastAsia"/>
          <w:color w:val="auto"/>
          <w:szCs w:val="21"/>
          <w:highlight w:val="none"/>
        </w:rPr>
        <w:t>，其中</w:t>
      </w:r>
      <w:r>
        <w:rPr>
          <w:rFonts w:hint="eastAsia"/>
          <w:color w:val="auto"/>
          <w:szCs w:val="21"/>
          <w:highlight w:val="none"/>
          <w:lang w:val="en-US" w:eastAsia="zh-CN"/>
        </w:rPr>
        <w:t>1桶</w:t>
      </w:r>
      <w:r>
        <w:rPr>
          <w:rFonts w:hint="eastAsia"/>
          <w:color w:val="auto"/>
          <w:szCs w:val="21"/>
          <w:highlight w:val="none"/>
        </w:rPr>
        <w:t>作为检验样品，</w:t>
      </w:r>
      <w:r>
        <w:rPr>
          <w:rFonts w:hint="eastAsia"/>
          <w:color w:val="auto"/>
          <w:szCs w:val="21"/>
          <w:highlight w:val="none"/>
          <w:lang w:val="en-US" w:eastAsia="zh-CN"/>
        </w:rPr>
        <w:t>1桶</w:t>
      </w:r>
      <w:r>
        <w:rPr>
          <w:rFonts w:hint="eastAsia"/>
          <w:color w:val="auto"/>
          <w:szCs w:val="21"/>
          <w:highlight w:val="none"/>
        </w:rPr>
        <w:t>作为备用样品。</w:t>
      </w:r>
    </w:p>
    <w:bookmarkEnd w:id="2"/>
    <w:p>
      <w:pPr>
        <w:pStyle w:val="2"/>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rPr>
          <w:rFonts w:eastAsia="黑体"/>
          <w:color w:val="000000"/>
          <w:szCs w:val="21"/>
        </w:rPr>
      </w:pP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szCs w:val="21"/>
              </w:rPr>
            </w:pPr>
            <w:r>
              <w:rPr>
                <w:szCs w:val="21"/>
              </w:rPr>
              <w:t>序号</w:t>
            </w:r>
          </w:p>
        </w:tc>
        <w:tc>
          <w:tcPr>
            <w:tcW w:w="4988" w:type="dxa"/>
            <w:vAlign w:val="center"/>
          </w:tcPr>
          <w:p>
            <w:pPr>
              <w:jc w:val="center"/>
              <w:rPr>
                <w:color w:val="auto"/>
                <w:szCs w:val="21"/>
              </w:rPr>
            </w:pPr>
            <w:r>
              <w:rPr>
                <w:color w:val="auto"/>
                <w:szCs w:val="21"/>
              </w:rPr>
              <w:t>检验项目</w:t>
            </w:r>
          </w:p>
        </w:tc>
        <w:tc>
          <w:tcPr>
            <w:tcW w:w="3493"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1</w:t>
            </w:r>
          </w:p>
        </w:tc>
        <w:tc>
          <w:tcPr>
            <w:tcW w:w="4988" w:type="dxa"/>
            <w:vAlign w:val="center"/>
          </w:tcPr>
          <w:p>
            <w:pPr>
              <w:jc w:val="center"/>
              <w:rPr>
                <w:szCs w:val="21"/>
              </w:rPr>
            </w:pPr>
            <w:r>
              <w:rPr>
                <w:rFonts w:hint="default"/>
                <w:szCs w:val="21"/>
                <w:lang w:val="en-US" w:eastAsia="zh-CN"/>
              </w:rPr>
              <w:t>干燥时间</w:t>
            </w:r>
          </w:p>
        </w:tc>
        <w:tc>
          <w:tcPr>
            <w:tcW w:w="3493" w:type="dxa"/>
            <w:vAlign w:val="center"/>
          </w:tcPr>
          <w:p>
            <w:pPr>
              <w:jc w:val="center"/>
              <w:rPr>
                <w:szCs w:val="21"/>
              </w:rPr>
            </w:pPr>
            <w:r>
              <w:rPr>
                <w:rFonts w:hint="eastAsia"/>
                <w:color w:val="000000"/>
                <w:szCs w:val="21"/>
              </w:rPr>
              <w:t xml:space="preserve"> GB/T 1728-2020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2</w:t>
            </w:r>
          </w:p>
        </w:tc>
        <w:tc>
          <w:tcPr>
            <w:tcW w:w="4988" w:type="dxa"/>
            <w:vAlign w:val="center"/>
          </w:tcPr>
          <w:p>
            <w:pPr>
              <w:jc w:val="center"/>
              <w:rPr>
                <w:szCs w:val="21"/>
              </w:rPr>
            </w:pPr>
            <w:r>
              <w:rPr>
                <w:rFonts w:hint="default"/>
                <w:szCs w:val="21"/>
                <w:lang w:val="en-US" w:eastAsia="zh-CN"/>
              </w:rPr>
              <w:t>初期干燥抗裂性</w:t>
            </w:r>
          </w:p>
        </w:tc>
        <w:tc>
          <w:tcPr>
            <w:tcW w:w="3493" w:type="dxa"/>
            <w:vAlign w:val="center"/>
          </w:tcPr>
          <w:p>
            <w:pPr>
              <w:jc w:val="center"/>
              <w:rPr>
                <w:szCs w:val="21"/>
              </w:rPr>
            </w:pPr>
            <w:r>
              <w:rPr>
                <w:rFonts w:hint="eastAsia"/>
                <w:szCs w:val="21"/>
              </w:rPr>
              <w:t xml:space="preserve">GB/T 9779-2015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3</w:t>
            </w:r>
          </w:p>
        </w:tc>
        <w:tc>
          <w:tcPr>
            <w:tcW w:w="4988" w:type="dxa"/>
            <w:vAlign w:val="center"/>
          </w:tcPr>
          <w:p>
            <w:pPr>
              <w:jc w:val="center"/>
              <w:rPr>
                <w:szCs w:val="21"/>
              </w:rPr>
            </w:pPr>
            <w:r>
              <w:rPr>
                <w:rFonts w:hint="default"/>
                <w:szCs w:val="21"/>
                <w:lang w:val="en-US" w:eastAsia="zh-CN"/>
              </w:rPr>
              <w:t>粘结强度</w:t>
            </w:r>
          </w:p>
        </w:tc>
        <w:tc>
          <w:tcPr>
            <w:tcW w:w="3493" w:type="dxa"/>
            <w:vAlign w:val="center"/>
          </w:tcPr>
          <w:p>
            <w:pPr>
              <w:jc w:val="center"/>
              <w:rPr>
                <w:rFonts w:hint="default" w:eastAsia="宋体"/>
                <w:szCs w:val="21"/>
                <w:lang w:val="en-US" w:eastAsia="zh-CN"/>
              </w:rPr>
            </w:pPr>
            <w:r>
              <w:rPr>
                <w:rFonts w:hint="eastAsia"/>
                <w:szCs w:val="21"/>
                <w:lang w:val="en-US" w:eastAsia="zh-CN"/>
              </w:rPr>
              <w:t xml:space="preserve"> GB 14907-2018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4</w:t>
            </w:r>
          </w:p>
        </w:tc>
        <w:tc>
          <w:tcPr>
            <w:tcW w:w="4988" w:type="dxa"/>
            <w:vAlign w:val="center"/>
          </w:tcPr>
          <w:p>
            <w:pPr>
              <w:jc w:val="center"/>
              <w:rPr>
                <w:szCs w:val="21"/>
              </w:rPr>
            </w:pPr>
            <w:r>
              <w:rPr>
                <w:rFonts w:hint="default"/>
                <w:szCs w:val="21"/>
                <w:lang w:val="en-US" w:eastAsia="zh-CN"/>
              </w:rPr>
              <w:t>干密度</w:t>
            </w:r>
            <w:r>
              <w:rPr>
                <w:rFonts w:hint="eastAsia"/>
                <w:szCs w:val="21"/>
                <w:vertAlign w:val="superscript"/>
              </w:rPr>
              <w:t>a</w:t>
            </w:r>
          </w:p>
        </w:tc>
        <w:tc>
          <w:tcPr>
            <w:tcW w:w="3493" w:type="dxa"/>
            <w:vAlign w:val="center"/>
          </w:tcPr>
          <w:p>
            <w:pPr>
              <w:jc w:val="center"/>
              <w:rPr>
                <w:szCs w:val="21"/>
              </w:rPr>
            </w:pPr>
            <w:r>
              <w:rPr>
                <w:rFonts w:hint="eastAsia"/>
                <w:color w:val="000000"/>
                <w:szCs w:val="21"/>
              </w:rPr>
              <w:t xml:space="preserve"> GB 14907-2018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5</w:t>
            </w:r>
          </w:p>
        </w:tc>
        <w:tc>
          <w:tcPr>
            <w:tcW w:w="4988" w:type="dxa"/>
            <w:vAlign w:val="center"/>
          </w:tcPr>
          <w:p>
            <w:pPr>
              <w:jc w:val="center"/>
              <w:rPr>
                <w:szCs w:val="21"/>
              </w:rPr>
            </w:pPr>
            <w:r>
              <w:rPr>
                <w:rFonts w:hint="default"/>
                <w:szCs w:val="21"/>
                <w:lang w:val="en-US" w:eastAsia="zh-CN"/>
              </w:rPr>
              <w:t>pH值</w:t>
            </w:r>
            <w:r>
              <w:rPr>
                <w:rFonts w:hint="eastAsia"/>
                <w:szCs w:val="21"/>
                <w:vertAlign w:val="superscript"/>
                <w:lang w:val="en-US" w:eastAsia="zh-CN"/>
              </w:rPr>
              <w:t>b</w:t>
            </w:r>
          </w:p>
        </w:tc>
        <w:tc>
          <w:tcPr>
            <w:tcW w:w="3493" w:type="dxa"/>
            <w:vAlign w:val="center"/>
          </w:tcPr>
          <w:p>
            <w:pPr>
              <w:jc w:val="center"/>
              <w:rPr>
                <w:szCs w:val="21"/>
              </w:rPr>
            </w:pPr>
            <w:r>
              <w:rPr>
                <w:rFonts w:hint="eastAsia"/>
                <w:szCs w:val="21"/>
              </w:rPr>
              <w:t xml:space="preserve"> GB 14907-2018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74" w:type="dxa"/>
            <w:gridSpan w:val="3"/>
            <w:vAlign w:val="center"/>
          </w:tcPr>
          <w:p>
            <w:pPr>
              <w:jc w:val="left"/>
              <w:rPr>
                <w:rFonts w:hint="eastAsia"/>
                <w:szCs w:val="21"/>
              </w:rPr>
            </w:pPr>
            <w:r>
              <w:rPr>
                <w:rFonts w:hint="eastAsia"/>
                <w:szCs w:val="21"/>
                <w:lang w:val="en-US" w:eastAsia="zh-CN"/>
              </w:rPr>
              <w:t xml:space="preserve">a  </w:t>
            </w:r>
            <w:r>
              <w:rPr>
                <w:rFonts w:hint="default"/>
                <w:szCs w:val="21"/>
                <w:lang w:val="en-US" w:eastAsia="zh-CN"/>
              </w:rPr>
              <w:t>干密度</w:t>
            </w:r>
            <w:r>
              <w:rPr>
                <w:rFonts w:hint="eastAsia"/>
                <w:szCs w:val="21"/>
                <w:lang w:val="en-US" w:eastAsia="zh-CN"/>
              </w:rPr>
              <w:t>只适用于</w:t>
            </w:r>
            <w:r>
              <w:rPr>
                <w:rFonts w:hint="eastAsia"/>
                <w:szCs w:val="21"/>
              </w:rPr>
              <w:t>非膨胀型</w:t>
            </w:r>
            <w:r>
              <w:rPr>
                <w:rFonts w:hint="eastAsia"/>
                <w:szCs w:val="21"/>
                <w:lang w:val="en-US" w:eastAsia="zh-CN"/>
              </w:rPr>
              <w:t>钢结构防火涂料；</w:t>
            </w:r>
          </w:p>
          <w:p>
            <w:pPr>
              <w:jc w:val="left"/>
              <w:rPr>
                <w:rFonts w:hint="default" w:eastAsia="宋体"/>
                <w:szCs w:val="21"/>
                <w:lang w:val="en-US" w:eastAsia="zh-CN"/>
              </w:rPr>
            </w:pPr>
            <w:r>
              <w:rPr>
                <w:rFonts w:hint="eastAsia"/>
                <w:szCs w:val="21"/>
                <w:lang w:val="en-US" w:eastAsia="zh-CN"/>
              </w:rPr>
              <w:t>b</w:t>
            </w:r>
            <w:r>
              <w:rPr>
                <w:rFonts w:hint="eastAsia"/>
                <w:szCs w:val="21"/>
              </w:rPr>
              <w:t xml:space="preserve"> </w:t>
            </w:r>
            <w:r>
              <w:rPr>
                <w:rFonts w:hint="eastAsia"/>
                <w:szCs w:val="21"/>
                <w:lang w:val="en-US" w:eastAsia="zh-CN"/>
              </w:rPr>
              <w:t xml:space="preserve"> pH值</w:t>
            </w:r>
            <w:bookmarkStart w:id="4" w:name="OLE_LINK1"/>
            <w:r>
              <w:rPr>
                <w:rFonts w:hint="eastAsia"/>
                <w:szCs w:val="21"/>
                <w:lang w:val="en-US" w:eastAsia="zh-CN"/>
              </w:rPr>
              <w:t>只适用于</w:t>
            </w:r>
            <w:bookmarkEnd w:id="4"/>
            <w:r>
              <w:rPr>
                <w:rFonts w:hint="eastAsia"/>
                <w:szCs w:val="21"/>
                <w:lang w:val="en-US" w:eastAsia="zh-CN"/>
              </w:rPr>
              <w:t>水基性的</w:t>
            </w:r>
            <w:bookmarkStart w:id="5" w:name="OLE_LINK2"/>
            <w:r>
              <w:rPr>
                <w:rFonts w:hint="eastAsia"/>
                <w:szCs w:val="21"/>
                <w:lang w:val="en-US" w:eastAsia="zh-CN"/>
              </w:rPr>
              <w:t>钢结构防火涂料</w:t>
            </w:r>
            <w:bookmarkEnd w:id="5"/>
            <w:r>
              <w:rPr>
                <w:rFonts w:hint="eastAsia"/>
                <w:szCs w:val="21"/>
                <w:lang w:val="en-US" w:eastAsia="zh-CN"/>
              </w:rPr>
              <w:t>。</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420" w:firstLineChars="200"/>
        <w:rPr>
          <w:color w:val="000000"/>
          <w:szCs w:val="21"/>
        </w:rPr>
      </w:pPr>
    </w:p>
    <w:p>
      <w:pPr>
        <w:spacing w:before="156" w:beforeLines="50"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rFonts w:hint="eastAsia"/>
          <w:color w:val="000000"/>
          <w:szCs w:val="21"/>
          <w:lang w:val="en-US" w:eastAsia="zh-CN"/>
        </w:rPr>
      </w:pPr>
      <w:r>
        <w:rPr>
          <w:rFonts w:hint="eastAsia"/>
          <w:color w:val="000000"/>
          <w:szCs w:val="21"/>
        </w:rPr>
        <w:t xml:space="preserve"> GB 14907-2018</w:t>
      </w:r>
      <w:r>
        <w:rPr>
          <w:rFonts w:hint="eastAsia"/>
          <w:color w:val="000000"/>
          <w:szCs w:val="21"/>
          <w:lang w:val="en-US" w:eastAsia="zh-CN"/>
        </w:rPr>
        <w:t xml:space="preserve"> </w:t>
      </w:r>
      <w:r>
        <w:rPr>
          <w:rFonts w:hint="default"/>
          <w:color w:val="000000"/>
          <w:szCs w:val="21"/>
        </w:rPr>
        <w:t>钢结构防火涂料</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宋体" w:hAnsi="宋体"/>
          <w:szCs w:val="21"/>
        </w:rPr>
      </w:pPr>
      <w:r>
        <w:rPr>
          <w:rFonts w:hint="default" w:ascii="宋体" w:hAnsi="宋体"/>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bookmarkStart w:id="6" w:name="_GoBack"/>
      <w:bookmarkEnd w:id="6"/>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5025F47"/>
    <w:rsid w:val="09234C9E"/>
    <w:rsid w:val="0BF3562B"/>
    <w:rsid w:val="0D767BE7"/>
    <w:rsid w:val="0DBB4C8C"/>
    <w:rsid w:val="11473DDB"/>
    <w:rsid w:val="16AA5042"/>
    <w:rsid w:val="19946411"/>
    <w:rsid w:val="1A784B4A"/>
    <w:rsid w:val="1B9113EA"/>
    <w:rsid w:val="1CAE40AE"/>
    <w:rsid w:val="1E133B57"/>
    <w:rsid w:val="23D5391A"/>
    <w:rsid w:val="24290AE3"/>
    <w:rsid w:val="25FE0304"/>
    <w:rsid w:val="294E004B"/>
    <w:rsid w:val="306B5D00"/>
    <w:rsid w:val="36A47F79"/>
    <w:rsid w:val="394D1D72"/>
    <w:rsid w:val="3AEB3625"/>
    <w:rsid w:val="3BC768BF"/>
    <w:rsid w:val="3C186DE5"/>
    <w:rsid w:val="3E8E2096"/>
    <w:rsid w:val="54D463DC"/>
    <w:rsid w:val="57282D4D"/>
    <w:rsid w:val="575527A0"/>
    <w:rsid w:val="59E81116"/>
    <w:rsid w:val="60155BF2"/>
    <w:rsid w:val="617E46E6"/>
    <w:rsid w:val="627836B5"/>
    <w:rsid w:val="629611FF"/>
    <w:rsid w:val="636B2161"/>
    <w:rsid w:val="665E1984"/>
    <w:rsid w:val="6FE07B46"/>
    <w:rsid w:val="75FB6071"/>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afterLines="0" w:afterAutospacing="0" w:line="240" w:lineRule="auto"/>
      <w:ind w:left="420" w:leftChars="200" w:firstLine="420" w:firstLineChars="200"/>
    </w:pPr>
    <w:rPr>
      <w:sz w:val="21"/>
    </w:rPr>
  </w:style>
  <w:style w:type="paragraph" w:styleId="3">
    <w:name w:val="Body Text Indent"/>
    <w:basedOn w:val="1"/>
    <w:qFormat/>
    <w:uiPriority w:val="0"/>
    <w:pPr>
      <w:spacing w:line="700" w:lineRule="exact"/>
      <w:ind w:left="960"/>
    </w:pPr>
    <w:rPr>
      <w:sz w:val="44"/>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字符"/>
    <w:link w:val="8"/>
    <w:semiHidden/>
    <w:qFormat/>
    <w:uiPriority w:val="99"/>
    <w:rPr>
      <w:kern w:val="2"/>
      <w:sz w:val="18"/>
      <w:szCs w:val="18"/>
    </w:rPr>
  </w:style>
  <w:style w:type="character" w:customStyle="1" w:styleId="13">
    <w:name w:val="页脚 字符"/>
    <w:link w:val="7"/>
    <w:qFormat/>
    <w:uiPriority w:val="99"/>
    <w:rPr>
      <w:kern w:val="2"/>
      <w:sz w:val="18"/>
      <w:szCs w:val="18"/>
    </w:rPr>
  </w:style>
  <w:style w:type="character" w:customStyle="1" w:styleId="14">
    <w:name w:val="批注框文本 字符"/>
    <w:link w:val="6"/>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720</Words>
  <Characters>799</Characters>
  <Lines>12</Lines>
  <Paragraphs>3</Paragraphs>
  <TotalTime>0</TotalTime>
  <ScaleCrop>false</ScaleCrop>
  <LinksUpToDate>false</LinksUpToDate>
  <CharactersWithSpaces>820</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2024-03-25T07:31:00Z</dcterms:created>
  <dc:creator>赛旺检测</dc:creator>
  <cp:lastModifiedBy>Administrator</cp:lastModifiedBy>
  <cp:lastPrinted>2019-12-26T06:50:00Z</cp:lastPrinted>
  <dcterms:modified xsi:type="dcterms:W3CDTF">2025-05-19T03:04:38Z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4E3F8BDD58974850A25B7E8F2A87CBF0_13</vt:lpwstr>
  </property>
</Properties>
</file>