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重庆市酸奶机产品质量监督抽查实施细则（2025年</w:t>
      </w:r>
      <w:r>
        <w:rPr>
          <w:rFonts w:hint="eastAsia" w:ascii="方正小标宋简体" w:hAnsi="仿宋" w:eastAsia="方正小标宋简体" w:cs="方正仿宋简体"/>
          <w:color w:val="000000"/>
          <w:sz w:val="32"/>
          <w:szCs w:val="32"/>
          <w:lang w:eastAsia="zh-CN"/>
        </w:rPr>
        <w:t>版</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rPr>
          <w:rFonts w:eastAsia="方正小标宋简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 xml:space="preserve">抽取样品2台，其中1台作为检验样品，1台作为备用样品。  </w:t>
      </w:r>
    </w:p>
    <w:p>
      <w:pPr>
        <w:snapToGrid w:val="0"/>
        <w:spacing w:line="440" w:lineRule="exact"/>
        <w:ind w:firstLine="420" w:firstLineChars="200"/>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color w:val="000000"/>
          <w:szCs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082"/>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blHeader/>
          <w:jc w:val="center"/>
        </w:trPr>
        <w:tc>
          <w:tcPr>
            <w:tcW w:w="831" w:type="dxa"/>
            <w:vMerge w:val="restart"/>
            <w:tcBorders>
              <w:top w:val="single" w:color="auto" w:sz="4" w:space="0"/>
              <w:left w:val="single" w:color="auto" w:sz="4" w:space="0"/>
              <w:right w:val="single" w:color="auto" w:sz="4" w:space="0"/>
            </w:tcBorders>
            <w:vAlign w:val="center"/>
          </w:tcPr>
          <w:p>
            <w:pPr>
              <w:spacing w:line="250" w:lineRule="exact"/>
              <w:jc w:val="center"/>
              <w:rPr>
                <w:rFonts w:ascii="宋体" w:hAnsi="宋体"/>
              </w:rPr>
            </w:pPr>
            <w:r>
              <w:rPr>
                <w:rFonts w:hint="eastAsia" w:ascii="宋体" w:hAnsi="宋体"/>
              </w:rPr>
              <w:t>序号</w:t>
            </w:r>
          </w:p>
        </w:tc>
        <w:tc>
          <w:tcPr>
            <w:tcW w:w="4082" w:type="dxa"/>
            <w:vMerge w:val="restart"/>
            <w:tcBorders>
              <w:left w:val="single" w:color="auto" w:sz="4" w:space="0"/>
            </w:tcBorders>
            <w:vAlign w:val="center"/>
          </w:tcPr>
          <w:p>
            <w:pPr>
              <w:spacing w:line="250" w:lineRule="exact"/>
              <w:jc w:val="center"/>
              <w:rPr>
                <w:rFonts w:ascii="宋体" w:hAnsi="宋体"/>
              </w:rPr>
            </w:pPr>
            <w:r>
              <w:rPr>
                <w:rFonts w:hint="eastAsia" w:ascii="宋体" w:hAnsi="宋体"/>
              </w:rPr>
              <w:t>检验项目</w:t>
            </w:r>
          </w:p>
        </w:tc>
        <w:tc>
          <w:tcPr>
            <w:tcW w:w="4082" w:type="dxa"/>
            <w:vMerge w:val="restart"/>
            <w:vAlign w:val="center"/>
          </w:tcPr>
          <w:p>
            <w:pPr>
              <w:spacing w:line="250" w:lineRule="exact"/>
              <w:jc w:val="center"/>
              <w:rPr>
                <w:rFonts w:ascii="宋体" w:hAnsi="宋体"/>
              </w:rPr>
            </w:pPr>
            <w:r>
              <w:rPr>
                <w:rFonts w:hint="eastAsia" w:ascii="宋体" w:hAnsi="宋体"/>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continue"/>
            <w:tcBorders>
              <w:left w:val="single" w:color="auto" w:sz="4" w:space="0"/>
              <w:bottom w:val="single" w:color="auto" w:sz="4" w:space="0"/>
              <w:right w:val="single" w:color="auto" w:sz="4" w:space="0"/>
            </w:tcBorders>
            <w:vAlign w:val="center"/>
          </w:tcPr>
          <w:p>
            <w:pPr>
              <w:spacing w:line="250" w:lineRule="exact"/>
              <w:jc w:val="center"/>
              <w:rPr>
                <w:rFonts w:ascii="宋体" w:hAnsi="宋体"/>
              </w:rPr>
            </w:pPr>
          </w:p>
        </w:tc>
        <w:tc>
          <w:tcPr>
            <w:tcW w:w="4082" w:type="dxa"/>
            <w:vMerge w:val="continue"/>
            <w:tcBorders>
              <w:left w:val="single" w:color="auto" w:sz="4" w:space="0"/>
            </w:tcBorders>
            <w:vAlign w:val="center"/>
          </w:tcPr>
          <w:p>
            <w:pPr>
              <w:spacing w:line="250" w:lineRule="exact"/>
              <w:jc w:val="center"/>
              <w:rPr>
                <w:rFonts w:ascii="宋体" w:hAnsi="宋体"/>
              </w:rPr>
            </w:pPr>
          </w:p>
        </w:tc>
        <w:tc>
          <w:tcPr>
            <w:tcW w:w="4082" w:type="dxa"/>
            <w:vMerge w:val="continue"/>
            <w:vAlign w:val="center"/>
          </w:tcPr>
          <w:p>
            <w:pPr>
              <w:spacing w:line="25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1</w:t>
            </w:r>
          </w:p>
        </w:tc>
        <w:tc>
          <w:tcPr>
            <w:tcW w:w="4082" w:type="dxa"/>
            <w:vAlign w:val="center"/>
          </w:tcPr>
          <w:p>
            <w:pPr>
              <w:snapToGrid w:val="0"/>
              <w:spacing w:before="62" w:beforeLines="20" w:after="62" w:afterLines="20" w:line="240" w:lineRule="atLeast"/>
              <w:jc w:val="center"/>
              <w:rPr>
                <w:kern w:val="0"/>
                <w:szCs w:val="21"/>
              </w:rPr>
            </w:pPr>
            <w:r>
              <w:rPr>
                <w:kern w:val="0"/>
                <w:szCs w:val="21"/>
              </w:rPr>
              <w:t>对触及带电部件的防护</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2</w:t>
            </w:r>
          </w:p>
        </w:tc>
        <w:tc>
          <w:tcPr>
            <w:tcW w:w="4082" w:type="dxa"/>
            <w:vAlign w:val="center"/>
          </w:tcPr>
          <w:p>
            <w:pPr>
              <w:snapToGrid w:val="0"/>
              <w:spacing w:before="62" w:beforeLines="20" w:after="62" w:afterLines="20" w:line="240" w:lineRule="atLeast"/>
              <w:jc w:val="center"/>
              <w:rPr>
                <w:kern w:val="0"/>
                <w:szCs w:val="21"/>
              </w:rPr>
            </w:pPr>
            <w:r>
              <w:rPr>
                <w:kern w:val="0"/>
                <w:szCs w:val="21"/>
              </w:rPr>
              <w:t>输入功率和电流</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3</w:t>
            </w:r>
          </w:p>
        </w:tc>
        <w:tc>
          <w:tcPr>
            <w:tcW w:w="4082" w:type="dxa"/>
            <w:vAlign w:val="center"/>
          </w:tcPr>
          <w:p>
            <w:pPr>
              <w:snapToGrid w:val="0"/>
              <w:spacing w:before="62" w:beforeLines="20" w:after="62" w:afterLines="20" w:line="240" w:lineRule="atLeast"/>
              <w:jc w:val="center"/>
              <w:rPr>
                <w:kern w:val="0"/>
                <w:szCs w:val="21"/>
              </w:rPr>
            </w:pPr>
            <w:r>
              <w:rPr>
                <w:kern w:val="0"/>
                <w:szCs w:val="21"/>
              </w:rPr>
              <w:t>发热</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4</w:t>
            </w:r>
          </w:p>
        </w:tc>
        <w:tc>
          <w:tcPr>
            <w:tcW w:w="4082" w:type="dxa"/>
            <w:vAlign w:val="center"/>
          </w:tcPr>
          <w:p>
            <w:pPr>
              <w:snapToGrid w:val="0"/>
              <w:spacing w:before="62" w:beforeLines="20" w:after="62" w:afterLines="20" w:line="240" w:lineRule="atLeast"/>
              <w:jc w:val="center"/>
              <w:rPr>
                <w:kern w:val="0"/>
                <w:szCs w:val="21"/>
              </w:rPr>
            </w:pPr>
            <w:r>
              <w:rPr>
                <w:kern w:val="0"/>
                <w:szCs w:val="21"/>
              </w:rPr>
              <w:t>工作温度下的泄漏电流和电气强度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5</w:t>
            </w:r>
          </w:p>
        </w:tc>
        <w:tc>
          <w:tcPr>
            <w:tcW w:w="4082" w:type="dxa"/>
            <w:vAlign w:val="center"/>
          </w:tcPr>
          <w:p>
            <w:pPr>
              <w:snapToGrid w:val="0"/>
              <w:spacing w:before="62" w:beforeLines="20" w:after="62" w:afterLines="20" w:line="240" w:lineRule="atLeast"/>
              <w:jc w:val="center"/>
              <w:rPr>
                <w:kern w:val="0"/>
                <w:szCs w:val="21"/>
              </w:rPr>
            </w:pPr>
            <w:r>
              <w:rPr>
                <w:kern w:val="0"/>
                <w:szCs w:val="21"/>
              </w:rPr>
              <w:t>耐潮湿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6</w:t>
            </w:r>
          </w:p>
        </w:tc>
        <w:tc>
          <w:tcPr>
            <w:tcW w:w="4082" w:type="dxa"/>
            <w:vAlign w:val="center"/>
          </w:tcPr>
          <w:p>
            <w:pPr>
              <w:snapToGrid w:val="0"/>
              <w:spacing w:before="62" w:beforeLines="20" w:after="62" w:afterLines="20" w:line="240" w:lineRule="atLeast"/>
              <w:jc w:val="center"/>
              <w:rPr>
                <w:kern w:val="0"/>
                <w:szCs w:val="21"/>
              </w:rPr>
            </w:pPr>
            <w:r>
              <w:rPr>
                <w:kern w:val="0"/>
                <w:szCs w:val="21"/>
              </w:rPr>
              <w:t>泄漏电流和电气强度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7</w:t>
            </w:r>
          </w:p>
        </w:tc>
        <w:tc>
          <w:tcPr>
            <w:tcW w:w="4082" w:type="dxa"/>
            <w:vAlign w:val="center"/>
          </w:tcPr>
          <w:p>
            <w:pPr>
              <w:snapToGrid w:val="0"/>
              <w:spacing w:before="62" w:beforeLines="20" w:after="62" w:afterLines="20" w:line="240" w:lineRule="atLeast"/>
              <w:jc w:val="center"/>
              <w:rPr>
                <w:kern w:val="0"/>
                <w:szCs w:val="21"/>
              </w:rPr>
            </w:pPr>
            <w:r>
              <w:rPr>
                <w:kern w:val="0"/>
                <w:szCs w:val="21"/>
              </w:rPr>
              <w:t>非正常工作（不包括第19.11.4条的试验）</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8</w:t>
            </w:r>
          </w:p>
        </w:tc>
        <w:tc>
          <w:tcPr>
            <w:tcW w:w="4082" w:type="dxa"/>
            <w:vAlign w:val="center"/>
          </w:tcPr>
          <w:p>
            <w:pPr>
              <w:snapToGrid w:val="0"/>
              <w:spacing w:before="62" w:beforeLines="20" w:after="62" w:afterLines="20" w:line="240" w:lineRule="atLeast"/>
              <w:jc w:val="center"/>
              <w:rPr>
                <w:kern w:val="0"/>
                <w:szCs w:val="21"/>
              </w:rPr>
            </w:pPr>
            <w:r>
              <w:rPr>
                <w:kern w:val="0"/>
                <w:szCs w:val="21"/>
              </w:rPr>
              <w:t>稳定性和机械危险</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ascii="宋体" w:hAnsi="宋体"/>
                <w:szCs w:val="21"/>
              </w:rPr>
              <w:t>9</w:t>
            </w:r>
          </w:p>
        </w:tc>
        <w:tc>
          <w:tcPr>
            <w:tcW w:w="4082" w:type="dxa"/>
            <w:vAlign w:val="center"/>
          </w:tcPr>
          <w:p>
            <w:pPr>
              <w:snapToGrid w:val="0"/>
              <w:spacing w:before="62" w:beforeLines="20" w:after="62" w:afterLines="20" w:line="240" w:lineRule="atLeast"/>
              <w:jc w:val="center"/>
              <w:rPr>
                <w:kern w:val="0"/>
                <w:szCs w:val="21"/>
              </w:rPr>
            </w:pPr>
            <w:r>
              <w:rPr>
                <w:kern w:val="0"/>
                <w:szCs w:val="21"/>
              </w:rPr>
              <w:t>机械强度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10</w:t>
            </w:r>
          </w:p>
        </w:tc>
        <w:tc>
          <w:tcPr>
            <w:tcW w:w="4082" w:type="dxa"/>
            <w:vAlign w:val="center"/>
          </w:tcPr>
          <w:p>
            <w:pPr>
              <w:snapToGrid w:val="0"/>
              <w:spacing w:before="62" w:beforeLines="20" w:after="62" w:afterLines="20" w:line="240" w:lineRule="atLeast"/>
              <w:jc w:val="center"/>
              <w:rPr>
                <w:kern w:val="0"/>
                <w:szCs w:val="21"/>
              </w:rPr>
            </w:pPr>
            <w:r>
              <w:rPr>
                <w:kern w:val="0"/>
                <w:szCs w:val="21"/>
              </w:rPr>
              <w:t>结构（不包括第22.46条的试验）</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11</w:t>
            </w:r>
          </w:p>
        </w:tc>
        <w:tc>
          <w:tcPr>
            <w:tcW w:w="4082" w:type="dxa"/>
            <w:vAlign w:val="center"/>
          </w:tcPr>
          <w:p>
            <w:pPr>
              <w:snapToGrid w:val="0"/>
              <w:spacing w:before="62" w:beforeLines="20" w:after="62" w:afterLines="20" w:line="240" w:lineRule="atLeast"/>
              <w:jc w:val="center"/>
              <w:rPr>
                <w:kern w:val="0"/>
                <w:szCs w:val="21"/>
              </w:rPr>
            </w:pPr>
            <w:r>
              <w:rPr>
                <w:kern w:val="0"/>
                <w:szCs w:val="21"/>
              </w:rPr>
              <w:t>内部布线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12</w:t>
            </w:r>
          </w:p>
        </w:tc>
        <w:tc>
          <w:tcPr>
            <w:tcW w:w="4082" w:type="dxa"/>
            <w:vAlign w:val="center"/>
          </w:tcPr>
          <w:p>
            <w:pPr>
              <w:snapToGrid w:val="0"/>
              <w:spacing w:before="62" w:beforeLines="20" w:after="62" w:afterLines="20" w:line="240" w:lineRule="atLeast"/>
              <w:jc w:val="center"/>
              <w:rPr>
                <w:kern w:val="0"/>
                <w:szCs w:val="21"/>
              </w:rPr>
            </w:pPr>
            <w:r>
              <w:rPr>
                <w:kern w:val="0"/>
                <w:szCs w:val="21"/>
              </w:rPr>
              <w:t>电源连接和外部软线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13</w:t>
            </w:r>
          </w:p>
        </w:tc>
        <w:tc>
          <w:tcPr>
            <w:tcW w:w="4082" w:type="dxa"/>
            <w:vAlign w:val="center"/>
          </w:tcPr>
          <w:p>
            <w:pPr>
              <w:snapToGrid w:val="0"/>
              <w:spacing w:before="62" w:beforeLines="20" w:after="62" w:afterLines="20" w:line="240" w:lineRule="atLeast"/>
              <w:jc w:val="center"/>
              <w:rPr>
                <w:kern w:val="0"/>
                <w:szCs w:val="21"/>
              </w:rPr>
            </w:pPr>
            <w:r>
              <w:rPr>
                <w:kern w:val="0"/>
                <w:szCs w:val="21"/>
              </w:rPr>
              <w:t>外部导线用接线端子</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14</w:t>
            </w:r>
          </w:p>
        </w:tc>
        <w:tc>
          <w:tcPr>
            <w:tcW w:w="4082" w:type="dxa"/>
            <w:vAlign w:val="center"/>
          </w:tcPr>
          <w:p>
            <w:pPr>
              <w:snapToGrid w:val="0"/>
              <w:spacing w:before="62" w:beforeLines="20" w:after="62" w:afterLines="20" w:line="240" w:lineRule="atLeast"/>
              <w:jc w:val="center"/>
              <w:rPr>
                <w:kern w:val="0"/>
                <w:szCs w:val="21"/>
              </w:rPr>
            </w:pPr>
            <w:r>
              <w:rPr>
                <w:kern w:val="0"/>
                <w:szCs w:val="21"/>
              </w:rPr>
              <w:t>接地措施</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15</w:t>
            </w:r>
          </w:p>
        </w:tc>
        <w:tc>
          <w:tcPr>
            <w:tcW w:w="4082" w:type="dxa"/>
            <w:vAlign w:val="center"/>
          </w:tcPr>
          <w:p>
            <w:pPr>
              <w:snapToGrid w:val="0"/>
              <w:spacing w:before="62" w:beforeLines="20" w:after="62" w:afterLines="20" w:line="240" w:lineRule="atLeast"/>
              <w:jc w:val="center"/>
              <w:rPr>
                <w:kern w:val="0"/>
                <w:szCs w:val="21"/>
              </w:rPr>
            </w:pPr>
            <w:r>
              <w:rPr>
                <w:kern w:val="0"/>
                <w:szCs w:val="21"/>
              </w:rPr>
              <w:t>螺钉和连接</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16</w:t>
            </w:r>
          </w:p>
        </w:tc>
        <w:tc>
          <w:tcPr>
            <w:tcW w:w="4082" w:type="dxa"/>
            <w:vAlign w:val="center"/>
          </w:tcPr>
          <w:p>
            <w:pPr>
              <w:snapToGrid w:val="0"/>
              <w:spacing w:before="62" w:beforeLines="20" w:after="62" w:afterLines="20" w:line="240" w:lineRule="atLeast"/>
              <w:jc w:val="center"/>
              <w:rPr>
                <w:kern w:val="0"/>
                <w:szCs w:val="21"/>
              </w:rPr>
            </w:pPr>
            <w:r>
              <w:rPr>
                <w:kern w:val="0"/>
                <w:szCs w:val="21"/>
              </w:rPr>
              <w:t>电气间隙、爬电距离和固体绝缘</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ascii="宋体" w:hAnsi="宋体"/>
          <w:color w:val="000000"/>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17" w:firstLineChars="199"/>
        <w:rPr>
          <w:szCs w:val="21"/>
        </w:rPr>
      </w:pPr>
      <w:r>
        <w:rPr>
          <w:szCs w:val="21"/>
        </w:rPr>
        <w:t>GB 4706.1</w:t>
      </w:r>
      <w:r>
        <w:rPr>
          <w:rFonts w:hint="eastAsia"/>
          <w:szCs w:val="21"/>
        </w:rPr>
        <w:t>—</w:t>
      </w:r>
      <w:r>
        <w:rPr>
          <w:szCs w:val="21"/>
        </w:rPr>
        <w:t>2005 家用和类似用途电器的安全  第1部分：通用要求</w:t>
      </w:r>
    </w:p>
    <w:p>
      <w:pPr>
        <w:snapToGrid w:val="0"/>
        <w:spacing w:line="440" w:lineRule="exact"/>
        <w:ind w:firstLine="420" w:firstLineChars="200"/>
        <w:rPr>
          <w:szCs w:val="21"/>
        </w:rPr>
      </w:pPr>
      <w:r>
        <w:rPr>
          <w:szCs w:val="21"/>
        </w:rPr>
        <w:t>GB 4706.19</w:t>
      </w:r>
      <w:r>
        <w:rPr>
          <w:rFonts w:hint="eastAsia"/>
          <w:szCs w:val="21"/>
        </w:rPr>
        <w:t>—</w:t>
      </w:r>
      <w:r>
        <w:rPr>
          <w:szCs w:val="21"/>
        </w:rPr>
        <w:t>2008 家用和类似用途电器的安全  液体加热器的特殊要求</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Cambria">
    <w:altName w:val="Noto Sans Syriac Eastern"/>
    <w:panose1 w:val="02040503050406030204"/>
    <w:charset w:val="00"/>
    <w:family w:val="roman"/>
    <w:pitch w:val="default"/>
    <w:sig w:usb0="00000000" w:usb1="00000000" w:usb2="02000000" w:usb3="00000000" w:csb0="0000019F" w:csb1="00000000"/>
  </w:font>
  <w:font w:name="方正书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32"/>
        <w:szCs w:val="32"/>
      </w:rPr>
    </w:lvl>
    <w:lvl w:ilvl="1" w:tentative="0">
      <w:start w:val="1"/>
      <w:numFmt w:val="decimal"/>
      <w:pStyle w:val="11"/>
      <w:suff w:val="nothing"/>
      <w:lvlText w:val="%1%2　"/>
      <w:lvlJc w:val="left"/>
      <w:pPr>
        <w:ind w:left="0" w:firstLine="0"/>
      </w:pPr>
      <w:rPr>
        <w:rFonts w:hint="eastAsia" w:ascii="黑体" w:hAnsi="Times New Roman" w:eastAsia="黑体"/>
        <w:b w:val="0"/>
        <w:i w:val="0"/>
        <w:sz w:val="21"/>
      </w:rPr>
    </w:lvl>
    <w:lvl w:ilvl="2" w:tentative="0">
      <w:start w:val="1"/>
      <w:numFmt w:val="decimal"/>
      <w:pStyle w:val="10"/>
      <w:suff w:val="nothing"/>
      <w:lvlText w:val="%1%2.%3　"/>
      <w:lvlJc w:val="left"/>
      <w:pPr>
        <w:ind w:left="420" w:firstLine="0"/>
      </w:pPr>
    </w:lvl>
    <w:lvl w:ilvl="3" w:tentative="0">
      <w:start w:val="1"/>
      <w:numFmt w:val="decimal"/>
      <w:lvlRestart w:val="1"/>
      <w:suff w:val="nothing"/>
      <w:lvlText w:val="%1%2.%3.%4　"/>
      <w:lvlJc w:val="left"/>
      <w:pPr>
        <w:ind w:left="0" w:firstLine="0"/>
      </w:pPr>
      <w:rPr>
        <w:rFonts w:hint="eastAsia" w:ascii="黑体" w:hAnsi="Times New Roman" w:eastAsia="黑体"/>
        <w:b w:val="0"/>
        <w:i w:val="0"/>
        <w:color w:val="auto"/>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423C5385"/>
    <w:rsid w:val="00073706"/>
    <w:rsid w:val="000838A1"/>
    <w:rsid w:val="000C07E3"/>
    <w:rsid w:val="000D5936"/>
    <w:rsid w:val="00111B3A"/>
    <w:rsid w:val="001D7F68"/>
    <w:rsid w:val="00304855"/>
    <w:rsid w:val="003107C6"/>
    <w:rsid w:val="003217D6"/>
    <w:rsid w:val="003628CF"/>
    <w:rsid w:val="00363728"/>
    <w:rsid w:val="003726AE"/>
    <w:rsid w:val="003C1BB0"/>
    <w:rsid w:val="003C6F7B"/>
    <w:rsid w:val="00481FBE"/>
    <w:rsid w:val="00547B57"/>
    <w:rsid w:val="00565A3F"/>
    <w:rsid w:val="005A31B2"/>
    <w:rsid w:val="005D55AB"/>
    <w:rsid w:val="00601FC2"/>
    <w:rsid w:val="00662A7E"/>
    <w:rsid w:val="0076093F"/>
    <w:rsid w:val="007670E3"/>
    <w:rsid w:val="007911E6"/>
    <w:rsid w:val="007D1ED7"/>
    <w:rsid w:val="007D24B9"/>
    <w:rsid w:val="007E2568"/>
    <w:rsid w:val="00816B0C"/>
    <w:rsid w:val="008C26D2"/>
    <w:rsid w:val="009943B2"/>
    <w:rsid w:val="00A77BDA"/>
    <w:rsid w:val="00AA4C9C"/>
    <w:rsid w:val="00B92652"/>
    <w:rsid w:val="00BA375F"/>
    <w:rsid w:val="00BB3015"/>
    <w:rsid w:val="00BC4E66"/>
    <w:rsid w:val="00BD5A8D"/>
    <w:rsid w:val="00C21B2A"/>
    <w:rsid w:val="00C25B5D"/>
    <w:rsid w:val="00C91D0E"/>
    <w:rsid w:val="00C961F4"/>
    <w:rsid w:val="00CB52F7"/>
    <w:rsid w:val="00CD5D36"/>
    <w:rsid w:val="00DD6CDB"/>
    <w:rsid w:val="00E14E99"/>
    <w:rsid w:val="00E22B89"/>
    <w:rsid w:val="00EB1A5C"/>
    <w:rsid w:val="00EB1A6F"/>
    <w:rsid w:val="00EE6DAB"/>
    <w:rsid w:val="01B555F8"/>
    <w:rsid w:val="04FC33AD"/>
    <w:rsid w:val="10497935"/>
    <w:rsid w:val="191044B0"/>
    <w:rsid w:val="1C764CFA"/>
    <w:rsid w:val="22C07AC2"/>
    <w:rsid w:val="290F1950"/>
    <w:rsid w:val="2B5936FA"/>
    <w:rsid w:val="2DEE34E4"/>
    <w:rsid w:val="2F180BFD"/>
    <w:rsid w:val="343706EB"/>
    <w:rsid w:val="378A1C25"/>
    <w:rsid w:val="38BA27F0"/>
    <w:rsid w:val="3E894239"/>
    <w:rsid w:val="423C5385"/>
    <w:rsid w:val="46F825B9"/>
    <w:rsid w:val="46FB461A"/>
    <w:rsid w:val="4AFF5F88"/>
    <w:rsid w:val="4FDC0F3A"/>
    <w:rsid w:val="527821A3"/>
    <w:rsid w:val="53D24E8E"/>
    <w:rsid w:val="55200FFC"/>
    <w:rsid w:val="56050C0A"/>
    <w:rsid w:val="5BB7090B"/>
    <w:rsid w:val="5BE86C51"/>
    <w:rsid w:val="5CF76AE6"/>
    <w:rsid w:val="668B1F0D"/>
    <w:rsid w:val="68F75388"/>
    <w:rsid w:val="6B6E16B4"/>
    <w:rsid w:val="701B2694"/>
    <w:rsid w:val="70D72A5F"/>
    <w:rsid w:val="73721FF0"/>
    <w:rsid w:val="76B92C06"/>
    <w:rsid w:val="7ED32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kern w:val="0"/>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font21"/>
    <w:qFormat/>
    <w:uiPriority w:val="0"/>
    <w:rPr>
      <w:rFonts w:hint="default" w:ascii="Times New Roman" w:hAnsi="Times New Roman" w:cs="Times New Roman"/>
      <w:color w:val="000000"/>
      <w:sz w:val="21"/>
      <w:szCs w:val="21"/>
      <w:u w:val="none"/>
    </w:rPr>
  </w:style>
  <w:style w:type="character" w:customStyle="1" w:styleId="9">
    <w:name w:val="font11"/>
    <w:qFormat/>
    <w:uiPriority w:val="0"/>
    <w:rPr>
      <w:rFonts w:hint="eastAsia" w:ascii="宋体" w:hAnsi="宋体" w:eastAsia="宋体" w:cs="宋体"/>
      <w:color w:val="000000"/>
      <w:sz w:val="21"/>
      <w:szCs w:val="21"/>
      <w:u w:val="none"/>
    </w:rPr>
  </w:style>
  <w:style w:type="paragraph" w:customStyle="1" w:styleId="10">
    <w:name w:val="一级条标题"/>
    <w:basedOn w:val="11"/>
    <w:next w:val="1"/>
    <w:qFormat/>
    <w:uiPriority w:val="0"/>
    <w:pPr>
      <w:numPr>
        <w:ilvl w:val="2"/>
      </w:numPr>
      <w:spacing w:before="0" w:beforeLines="0" w:after="0" w:afterLines="0"/>
      <w:outlineLvl w:val="2"/>
    </w:pPr>
  </w:style>
  <w:style w:type="paragraph" w:customStyle="1" w:styleId="11">
    <w:name w:val="章标题"/>
    <w:next w:val="1"/>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CMQ</Company>
  <Pages>3</Pages>
  <Words>206</Words>
  <Characters>1179</Characters>
  <Lines>9</Lines>
  <Paragraphs>2</Paragraphs>
  <TotalTime>0</TotalTime>
  <ScaleCrop>false</ScaleCrop>
  <LinksUpToDate>false</LinksUpToDate>
  <CharactersWithSpaces>1383</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2023-03-01T10:38:00Z</dcterms:created>
  <dc:creator>pc</dc:creator>
  <cp:lastModifiedBy>scjgj</cp:lastModifiedBy>
  <dcterms:modified xsi:type="dcterms:W3CDTF">2025-06-13T09:08:04Z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AE111B8830B5493B90CAD018F5DCA85D</vt:lpwstr>
  </property>
  <property fmtid="{D5CDD505-2E9C-101B-9397-08002B2CF9AE}" pid="4" name="KSOTemplateDocerSaveRecord">
    <vt:lpwstr>eyJoZGlkIjoiZGZkZWMzMDgyMzMzM2IxNDRkZGUwNjQ2NjczNjQzOTQiLCJ1c2VySWQiOiIxNjMxODUyMjg5In0=</vt:lpwstr>
  </property>
</Properties>
</file>