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ind w:firstLine="547" w:firstLineChars="171"/>
        <w:jc w:val="center"/>
        <w:rPr>
          <w:rFonts w:hint="eastAsia" w:ascii="方正小标宋简体" w:hAnsi="仿宋" w:eastAsia="方正小标宋简体" w:cs="方正仿宋简体"/>
          <w:color w:val="000000"/>
          <w:sz w:val="32"/>
          <w:szCs w:val="32"/>
          <w:lang w:eastAsia="zh-CN"/>
        </w:rPr>
      </w:pPr>
      <w:r>
        <w:rPr>
          <w:rFonts w:hint="eastAsia" w:ascii="方正小标宋简体" w:hAnsi="仿宋" w:eastAsia="方正小标宋简体" w:cs="方正仿宋简体"/>
          <w:color w:val="000000"/>
          <w:sz w:val="32"/>
          <w:szCs w:val="32"/>
          <w:lang w:eastAsia="zh-CN"/>
        </w:rPr>
        <w:t>重庆市</w:t>
      </w:r>
      <w:r>
        <w:rPr>
          <w:rFonts w:hint="eastAsia" w:ascii="方正小标宋简体" w:hAnsi="仿宋" w:eastAsia="方正小标宋简体" w:cs="方正仿宋简体"/>
          <w:color w:val="000000"/>
          <w:sz w:val="32"/>
          <w:szCs w:val="32"/>
        </w:rPr>
        <w:t>车载充电器产品质量监督抽查实施细则</w:t>
      </w:r>
      <w:r>
        <w:rPr>
          <w:rFonts w:hint="eastAsia" w:ascii="方正小标宋简体" w:hAnsi="仿宋" w:eastAsia="方正小标宋简体" w:cs="方正仿宋简体"/>
          <w:color w:val="000000"/>
          <w:sz w:val="32"/>
          <w:szCs w:val="32"/>
          <w:lang w:eastAsia="zh-CN"/>
        </w:rPr>
        <w:t>（</w:t>
      </w:r>
      <w:r>
        <w:rPr>
          <w:rFonts w:hint="eastAsia" w:ascii="方正小标宋简体" w:hAnsi="仿宋" w:eastAsia="方正小标宋简体" w:cs="方正仿宋简体"/>
          <w:color w:val="000000"/>
          <w:sz w:val="32"/>
          <w:szCs w:val="32"/>
          <w:lang w:val="en-US" w:eastAsia="zh-CN"/>
        </w:rPr>
        <w:t>2025年版</w:t>
      </w:r>
      <w:bookmarkStart w:id="0" w:name="_GoBack"/>
      <w:bookmarkEnd w:id="0"/>
      <w:r>
        <w:rPr>
          <w:rFonts w:hint="eastAsia" w:ascii="方正小标宋简体" w:hAnsi="仿宋" w:eastAsia="方正小标宋简体" w:cs="方正仿宋简体"/>
          <w:color w:val="000000"/>
          <w:sz w:val="32"/>
          <w:szCs w:val="32"/>
          <w:lang w:eastAsia="zh-CN"/>
        </w:rPr>
        <w:t>）</w:t>
      </w:r>
    </w:p>
    <w:p>
      <w:pPr>
        <w:snapToGrid w:val="0"/>
        <w:spacing w:line="440" w:lineRule="exact"/>
        <w:ind w:firstLine="547" w:firstLineChars="171"/>
        <w:jc w:val="center"/>
        <w:rPr>
          <w:rFonts w:hint="eastAsia" w:ascii="方正小标宋简体" w:hAnsi="仿宋" w:eastAsia="方正小标宋简体" w:cs="方正仿宋简体"/>
          <w:color w:val="000000"/>
          <w:sz w:val="32"/>
          <w:szCs w:val="32"/>
        </w:rPr>
      </w:pPr>
    </w:p>
    <w:p>
      <w:pPr>
        <w:snapToGrid w:val="0"/>
        <w:spacing w:line="440" w:lineRule="exact"/>
        <w:rPr>
          <w:rFonts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szCs w:val="21"/>
        </w:rPr>
      </w:pPr>
      <w:r>
        <w:rPr>
          <w:rFonts w:hint="eastAsia" w:ascii="宋体" w:hAnsi="宋体"/>
          <w:szCs w:val="21"/>
        </w:rPr>
        <w:t>以随机抽样的方式在被抽样生产者、销售者的待销产品中抽取。</w:t>
      </w:r>
    </w:p>
    <w:p>
      <w:pPr>
        <w:snapToGrid w:val="0"/>
        <w:spacing w:line="440" w:lineRule="exact"/>
        <w:ind w:firstLine="420" w:firstLineChars="200"/>
        <w:rPr>
          <w:rFonts w:hint="eastAsia" w:ascii="宋体" w:hAnsi="宋体"/>
          <w:szCs w:val="21"/>
        </w:rPr>
      </w:pPr>
      <w:r>
        <w:rPr>
          <w:rFonts w:hint="eastAsia" w:ascii="宋体" w:hAnsi="宋体"/>
          <w:szCs w:val="21"/>
        </w:rPr>
        <w:t>随机数一般可使用随机数表等方法产生。</w:t>
      </w:r>
    </w:p>
    <w:p>
      <w:pPr>
        <w:snapToGrid w:val="0"/>
        <w:spacing w:line="440" w:lineRule="exact"/>
        <w:ind w:firstLine="420" w:firstLineChars="200"/>
        <w:rPr>
          <w:rFonts w:ascii="宋体" w:hAnsi="宋体"/>
          <w:szCs w:val="21"/>
        </w:rPr>
      </w:pPr>
      <w:r>
        <w:rPr>
          <w:rFonts w:hint="eastAsia" w:ascii="宋体" w:hAnsi="宋体"/>
          <w:szCs w:val="21"/>
        </w:rPr>
        <w:t>每批次产品抽取样品2台，其中1台作为检验样品，1台作为备用样品。</w:t>
      </w:r>
    </w:p>
    <w:p>
      <w:pPr>
        <w:snapToGrid w:val="0"/>
        <w:spacing w:line="440" w:lineRule="exact"/>
        <w:rPr>
          <w:rFonts w:hint="eastAsia"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2 检验依据</w:t>
      </w:r>
    </w:p>
    <w:p>
      <w:pPr>
        <w:snapToGrid w:val="0"/>
        <w:spacing w:line="440" w:lineRule="exact"/>
        <w:ind w:firstLine="420" w:firstLineChars="200"/>
        <w:jc w:val="center"/>
        <w:rPr>
          <w:rFonts w:hint="eastAsia" w:ascii="宋体" w:hAnsi="宋体"/>
          <w:szCs w:val="21"/>
        </w:rPr>
      </w:pPr>
      <w:r>
        <w:rPr>
          <w:rFonts w:hint="eastAsia" w:ascii="宋体" w:hAnsi="宋体"/>
          <w:szCs w:val="21"/>
        </w:rPr>
        <w:t>表1 明示YD/T 2306-2011标准的车载充电器</w:t>
      </w:r>
    </w:p>
    <w:tbl>
      <w:tblPr>
        <w:tblStyle w:val="7"/>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4773"/>
        <w:gridCol w:w="3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blHeader/>
        </w:trPr>
        <w:tc>
          <w:tcPr>
            <w:tcW w:w="710" w:type="dxa"/>
            <w:vAlign w:val="center"/>
          </w:tcPr>
          <w:p>
            <w:pPr>
              <w:snapToGrid w:val="0"/>
              <w:jc w:val="center"/>
              <w:rPr>
                <w:rFonts w:ascii="Times New Roman" w:hAnsi="Times New Roman"/>
                <w:color w:val="000000"/>
                <w:szCs w:val="21"/>
              </w:rPr>
            </w:pPr>
            <w:r>
              <w:rPr>
                <w:rFonts w:ascii="Times New Roman" w:hAnsi="Times New Roman"/>
                <w:color w:val="000000"/>
                <w:szCs w:val="21"/>
              </w:rPr>
              <w:t>序号</w:t>
            </w:r>
          </w:p>
        </w:tc>
        <w:tc>
          <w:tcPr>
            <w:tcW w:w="4773" w:type="dxa"/>
            <w:vAlign w:val="center"/>
          </w:tcPr>
          <w:p>
            <w:pPr>
              <w:snapToGrid w:val="0"/>
              <w:jc w:val="center"/>
              <w:rPr>
                <w:rFonts w:ascii="Times New Roman" w:hAnsi="Times New Roman"/>
                <w:color w:val="000000"/>
                <w:szCs w:val="21"/>
              </w:rPr>
            </w:pPr>
            <w:r>
              <w:rPr>
                <w:rFonts w:ascii="Times New Roman" w:hAnsi="Times New Roman"/>
                <w:color w:val="000000"/>
                <w:szCs w:val="21"/>
              </w:rPr>
              <w:t>检验项目</w:t>
            </w:r>
          </w:p>
        </w:tc>
        <w:tc>
          <w:tcPr>
            <w:tcW w:w="3691" w:type="dxa"/>
            <w:vAlign w:val="center"/>
          </w:tcPr>
          <w:p>
            <w:pPr>
              <w:snapToGrid w:val="0"/>
              <w:jc w:val="center"/>
              <w:rPr>
                <w:rFonts w:ascii="Times New Roman" w:hAnsi="Times New Roman"/>
                <w:color w:val="000000"/>
                <w:szCs w:val="21"/>
              </w:rPr>
            </w:pPr>
            <w:r>
              <w:rPr>
                <w:rFonts w:ascii="Times New Roman" w:hAnsi="Times New Roman"/>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blHeader/>
        </w:trPr>
        <w:tc>
          <w:tcPr>
            <w:tcW w:w="710" w:type="dxa"/>
            <w:vAlign w:val="center"/>
          </w:tcPr>
          <w:p>
            <w:pPr>
              <w:snapToGrid w:val="0"/>
              <w:spacing w:before="100" w:beforeAutospacing="1" w:after="100" w:afterAutospacing="1"/>
              <w:jc w:val="center"/>
              <w:rPr>
                <w:rFonts w:ascii="Times New Roman" w:hAnsi="Times New Roman"/>
                <w:color w:val="000000"/>
                <w:szCs w:val="21"/>
              </w:rPr>
            </w:pPr>
            <w:r>
              <w:rPr>
                <w:rFonts w:ascii="Times New Roman" w:hAnsi="Times New Roman"/>
                <w:color w:val="000000"/>
                <w:szCs w:val="21"/>
              </w:rPr>
              <w:t>1</w:t>
            </w:r>
          </w:p>
        </w:tc>
        <w:tc>
          <w:tcPr>
            <w:tcW w:w="4773" w:type="dxa"/>
            <w:vAlign w:val="center"/>
          </w:tcPr>
          <w:p>
            <w:pPr>
              <w:jc w:val="center"/>
              <w:rPr>
                <w:szCs w:val="21"/>
              </w:rPr>
            </w:pPr>
            <w:r>
              <w:rPr>
                <w:rFonts w:hint="eastAsia"/>
                <w:szCs w:val="21"/>
              </w:rPr>
              <w:t>输入适应范围</w:t>
            </w:r>
          </w:p>
        </w:tc>
        <w:tc>
          <w:tcPr>
            <w:tcW w:w="3691" w:type="dxa"/>
            <w:vAlign w:val="center"/>
          </w:tcPr>
          <w:p>
            <w:pPr>
              <w:snapToGrid w:val="0"/>
              <w:spacing w:line="300" w:lineRule="exact"/>
              <w:jc w:val="center"/>
              <w:rPr>
                <w:rFonts w:ascii="Times New Roman" w:hAnsi="Times New Roman"/>
                <w:color w:val="000000"/>
                <w:szCs w:val="21"/>
              </w:rPr>
            </w:pPr>
            <w:r>
              <w:rPr>
                <w:rFonts w:hint="eastAsia"/>
                <w:szCs w:val="21"/>
              </w:rPr>
              <w:t>YD/T 2306-2011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pPr>
              <w:snapToGrid w:val="0"/>
              <w:jc w:val="center"/>
              <w:rPr>
                <w:rFonts w:ascii="Times New Roman" w:hAnsi="Times New Roman"/>
                <w:color w:val="000000"/>
                <w:szCs w:val="21"/>
              </w:rPr>
            </w:pPr>
            <w:r>
              <w:rPr>
                <w:rFonts w:ascii="Times New Roman" w:hAnsi="Times New Roman"/>
                <w:color w:val="000000"/>
                <w:szCs w:val="21"/>
              </w:rPr>
              <w:t>2</w:t>
            </w:r>
          </w:p>
        </w:tc>
        <w:tc>
          <w:tcPr>
            <w:tcW w:w="4773" w:type="dxa"/>
            <w:vAlign w:val="center"/>
          </w:tcPr>
          <w:p>
            <w:pPr>
              <w:jc w:val="center"/>
              <w:rPr>
                <w:szCs w:val="21"/>
              </w:rPr>
            </w:pPr>
            <w:r>
              <w:rPr>
                <w:rFonts w:hint="eastAsia"/>
                <w:szCs w:val="21"/>
              </w:rPr>
              <w:t>输出电压</w:t>
            </w:r>
          </w:p>
        </w:tc>
        <w:tc>
          <w:tcPr>
            <w:tcW w:w="3691" w:type="dxa"/>
            <w:vAlign w:val="center"/>
          </w:tcPr>
          <w:p>
            <w:pPr>
              <w:snapToGrid w:val="0"/>
              <w:spacing w:line="300" w:lineRule="exact"/>
              <w:jc w:val="center"/>
              <w:rPr>
                <w:rFonts w:ascii="Times New Roman" w:hAnsi="Times New Roman"/>
                <w:color w:val="000000"/>
                <w:szCs w:val="21"/>
              </w:rPr>
            </w:pPr>
            <w:r>
              <w:rPr>
                <w:rFonts w:hint="eastAsia"/>
                <w:szCs w:val="21"/>
              </w:rPr>
              <w:t>YD/T 2306-2011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710" w:type="dxa"/>
            <w:vAlign w:val="center"/>
          </w:tcPr>
          <w:p>
            <w:pPr>
              <w:snapToGrid w:val="0"/>
              <w:jc w:val="center"/>
              <w:rPr>
                <w:rFonts w:ascii="Times New Roman" w:hAnsi="Times New Roman"/>
                <w:color w:val="000000"/>
                <w:szCs w:val="21"/>
              </w:rPr>
            </w:pPr>
            <w:r>
              <w:rPr>
                <w:rFonts w:ascii="Times New Roman" w:hAnsi="Times New Roman"/>
                <w:color w:val="000000"/>
                <w:szCs w:val="21"/>
              </w:rPr>
              <w:t>3</w:t>
            </w:r>
          </w:p>
        </w:tc>
        <w:tc>
          <w:tcPr>
            <w:tcW w:w="4773" w:type="dxa"/>
            <w:vAlign w:val="center"/>
          </w:tcPr>
          <w:p>
            <w:pPr>
              <w:jc w:val="center"/>
              <w:rPr>
                <w:szCs w:val="21"/>
              </w:rPr>
            </w:pPr>
            <w:r>
              <w:rPr>
                <w:rFonts w:hint="eastAsia"/>
                <w:szCs w:val="21"/>
              </w:rPr>
              <w:t>输出电流</w:t>
            </w:r>
          </w:p>
        </w:tc>
        <w:tc>
          <w:tcPr>
            <w:tcW w:w="3691" w:type="dxa"/>
            <w:vAlign w:val="center"/>
          </w:tcPr>
          <w:p>
            <w:pPr>
              <w:snapToGrid w:val="0"/>
              <w:spacing w:line="300" w:lineRule="exact"/>
              <w:jc w:val="center"/>
              <w:rPr>
                <w:rFonts w:ascii="Times New Roman" w:hAnsi="Times New Roman"/>
                <w:color w:val="000000"/>
                <w:szCs w:val="21"/>
              </w:rPr>
            </w:pPr>
            <w:r>
              <w:rPr>
                <w:rFonts w:hint="eastAsia"/>
                <w:szCs w:val="21"/>
              </w:rPr>
              <w:t>YD/T 2306-2011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pPr>
              <w:snapToGrid w:val="0"/>
              <w:spacing w:before="100" w:beforeAutospacing="1" w:after="100" w:afterAutospacing="1"/>
              <w:jc w:val="center"/>
              <w:rPr>
                <w:rFonts w:ascii="Times New Roman" w:hAnsi="Times New Roman"/>
                <w:color w:val="000000"/>
                <w:szCs w:val="21"/>
              </w:rPr>
            </w:pPr>
            <w:r>
              <w:rPr>
                <w:rFonts w:ascii="Times New Roman" w:hAnsi="Times New Roman"/>
                <w:color w:val="000000"/>
                <w:szCs w:val="21"/>
              </w:rPr>
              <w:t>4</w:t>
            </w:r>
          </w:p>
        </w:tc>
        <w:tc>
          <w:tcPr>
            <w:tcW w:w="4773" w:type="dxa"/>
            <w:vAlign w:val="center"/>
          </w:tcPr>
          <w:p>
            <w:pPr>
              <w:jc w:val="center"/>
              <w:rPr>
                <w:szCs w:val="21"/>
              </w:rPr>
            </w:pPr>
            <w:r>
              <w:rPr>
                <w:rFonts w:hint="eastAsia"/>
                <w:szCs w:val="21"/>
              </w:rPr>
              <w:t>短路电流</w:t>
            </w:r>
          </w:p>
        </w:tc>
        <w:tc>
          <w:tcPr>
            <w:tcW w:w="3691" w:type="dxa"/>
            <w:vAlign w:val="center"/>
          </w:tcPr>
          <w:p>
            <w:pPr>
              <w:snapToGrid w:val="0"/>
              <w:spacing w:line="300" w:lineRule="exact"/>
              <w:jc w:val="center"/>
              <w:rPr>
                <w:rFonts w:ascii="Times New Roman" w:hAnsi="Times New Roman"/>
                <w:color w:val="000000"/>
                <w:szCs w:val="21"/>
              </w:rPr>
            </w:pPr>
            <w:r>
              <w:rPr>
                <w:rFonts w:hint="eastAsia"/>
                <w:szCs w:val="21"/>
              </w:rPr>
              <w:t>YD/T 2306-2011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pPr>
              <w:snapToGrid w:val="0"/>
              <w:spacing w:before="100" w:beforeAutospacing="1" w:after="100" w:afterAutospacing="1"/>
              <w:jc w:val="center"/>
              <w:rPr>
                <w:rFonts w:ascii="Times New Roman" w:hAnsi="Times New Roman"/>
                <w:color w:val="000000"/>
                <w:szCs w:val="21"/>
              </w:rPr>
            </w:pPr>
            <w:r>
              <w:rPr>
                <w:rFonts w:ascii="Times New Roman" w:hAnsi="Times New Roman"/>
                <w:color w:val="000000"/>
                <w:szCs w:val="21"/>
              </w:rPr>
              <w:t>5</w:t>
            </w:r>
          </w:p>
        </w:tc>
        <w:tc>
          <w:tcPr>
            <w:tcW w:w="4773" w:type="dxa"/>
            <w:vAlign w:val="center"/>
          </w:tcPr>
          <w:p>
            <w:pPr>
              <w:jc w:val="center"/>
              <w:rPr>
                <w:szCs w:val="21"/>
              </w:rPr>
            </w:pPr>
            <w:r>
              <w:rPr>
                <w:rFonts w:hint="eastAsia"/>
                <w:szCs w:val="21"/>
              </w:rPr>
              <w:t>电流倒灌</w:t>
            </w:r>
          </w:p>
        </w:tc>
        <w:tc>
          <w:tcPr>
            <w:tcW w:w="3691" w:type="dxa"/>
            <w:vAlign w:val="center"/>
          </w:tcPr>
          <w:p>
            <w:pPr>
              <w:snapToGrid w:val="0"/>
              <w:spacing w:line="300" w:lineRule="exact"/>
              <w:jc w:val="center"/>
              <w:rPr>
                <w:rFonts w:ascii="Times New Roman" w:hAnsi="Times New Roman"/>
                <w:color w:val="000000"/>
                <w:szCs w:val="21"/>
              </w:rPr>
            </w:pPr>
            <w:r>
              <w:rPr>
                <w:rFonts w:hint="eastAsia"/>
                <w:szCs w:val="21"/>
              </w:rPr>
              <w:t>YD/T 2306-2011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pPr>
              <w:snapToGrid w:val="0"/>
              <w:jc w:val="center"/>
              <w:rPr>
                <w:rFonts w:ascii="Times New Roman" w:hAnsi="Times New Roman"/>
                <w:color w:val="000000"/>
                <w:szCs w:val="21"/>
              </w:rPr>
            </w:pPr>
            <w:r>
              <w:rPr>
                <w:rFonts w:ascii="Times New Roman" w:hAnsi="Times New Roman"/>
                <w:color w:val="000000"/>
                <w:szCs w:val="21"/>
              </w:rPr>
              <w:t>6</w:t>
            </w:r>
          </w:p>
        </w:tc>
        <w:tc>
          <w:tcPr>
            <w:tcW w:w="4773" w:type="dxa"/>
            <w:vAlign w:val="center"/>
          </w:tcPr>
          <w:p>
            <w:pPr>
              <w:jc w:val="center"/>
              <w:rPr>
                <w:szCs w:val="21"/>
              </w:rPr>
            </w:pPr>
            <w:r>
              <w:rPr>
                <w:rFonts w:hint="eastAsia"/>
                <w:szCs w:val="21"/>
              </w:rPr>
              <w:t>无负载能量消耗</w:t>
            </w:r>
          </w:p>
        </w:tc>
        <w:tc>
          <w:tcPr>
            <w:tcW w:w="3691" w:type="dxa"/>
            <w:vAlign w:val="center"/>
          </w:tcPr>
          <w:p>
            <w:pPr>
              <w:snapToGrid w:val="0"/>
              <w:spacing w:line="300" w:lineRule="exact"/>
              <w:jc w:val="center"/>
              <w:rPr>
                <w:rFonts w:ascii="Times New Roman" w:hAnsi="Times New Roman"/>
                <w:color w:val="000000"/>
                <w:szCs w:val="21"/>
              </w:rPr>
            </w:pPr>
            <w:r>
              <w:rPr>
                <w:rFonts w:hint="eastAsia"/>
                <w:szCs w:val="21"/>
              </w:rPr>
              <w:t>YD/T 2306-2011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710" w:type="dxa"/>
            <w:vAlign w:val="center"/>
          </w:tcPr>
          <w:p>
            <w:pPr>
              <w:snapToGrid w:val="0"/>
              <w:jc w:val="center"/>
              <w:rPr>
                <w:rFonts w:ascii="Times New Roman" w:hAnsi="Times New Roman"/>
                <w:color w:val="000000"/>
                <w:szCs w:val="21"/>
              </w:rPr>
            </w:pPr>
            <w:r>
              <w:rPr>
                <w:rFonts w:ascii="Times New Roman" w:hAnsi="Times New Roman"/>
                <w:color w:val="000000"/>
                <w:szCs w:val="21"/>
              </w:rPr>
              <w:t>7</w:t>
            </w:r>
          </w:p>
        </w:tc>
        <w:tc>
          <w:tcPr>
            <w:tcW w:w="4773" w:type="dxa"/>
            <w:vAlign w:val="center"/>
          </w:tcPr>
          <w:p>
            <w:pPr>
              <w:jc w:val="center"/>
              <w:rPr>
                <w:szCs w:val="21"/>
              </w:rPr>
            </w:pPr>
            <w:r>
              <w:rPr>
                <w:rFonts w:hint="eastAsia"/>
                <w:szCs w:val="21"/>
              </w:rPr>
              <w:t>电源适配器效率</w:t>
            </w:r>
          </w:p>
        </w:tc>
        <w:tc>
          <w:tcPr>
            <w:tcW w:w="3691" w:type="dxa"/>
            <w:vAlign w:val="center"/>
          </w:tcPr>
          <w:p>
            <w:pPr>
              <w:snapToGrid w:val="0"/>
              <w:spacing w:line="300" w:lineRule="exact"/>
              <w:jc w:val="center"/>
              <w:rPr>
                <w:rFonts w:ascii="Times New Roman" w:hAnsi="Times New Roman"/>
                <w:color w:val="000000"/>
                <w:szCs w:val="21"/>
              </w:rPr>
            </w:pPr>
            <w:r>
              <w:rPr>
                <w:rFonts w:hint="eastAsia"/>
                <w:szCs w:val="21"/>
              </w:rPr>
              <w:t>YD/T 2306-2011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pPr>
              <w:snapToGrid w:val="0"/>
              <w:jc w:val="center"/>
              <w:rPr>
                <w:rFonts w:ascii="Times New Roman" w:hAnsi="Times New Roman"/>
                <w:color w:val="000000"/>
                <w:szCs w:val="21"/>
              </w:rPr>
            </w:pPr>
            <w:r>
              <w:rPr>
                <w:rFonts w:ascii="Times New Roman" w:hAnsi="Times New Roman"/>
                <w:color w:val="000000"/>
                <w:szCs w:val="21"/>
              </w:rPr>
              <w:t>8</w:t>
            </w:r>
          </w:p>
        </w:tc>
        <w:tc>
          <w:tcPr>
            <w:tcW w:w="4773" w:type="dxa"/>
            <w:vAlign w:val="center"/>
          </w:tcPr>
          <w:p>
            <w:pPr>
              <w:jc w:val="center"/>
              <w:rPr>
                <w:szCs w:val="21"/>
              </w:rPr>
            </w:pPr>
            <w:r>
              <w:rPr>
                <w:rFonts w:hint="eastAsia"/>
                <w:szCs w:val="21"/>
              </w:rPr>
              <w:t>耐电源极性反接</w:t>
            </w:r>
          </w:p>
        </w:tc>
        <w:tc>
          <w:tcPr>
            <w:tcW w:w="3691" w:type="dxa"/>
            <w:vAlign w:val="center"/>
          </w:tcPr>
          <w:p>
            <w:pPr>
              <w:snapToGrid w:val="0"/>
              <w:spacing w:line="300" w:lineRule="exact"/>
              <w:jc w:val="center"/>
              <w:rPr>
                <w:rFonts w:ascii="Times New Roman" w:hAnsi="Times New Roman"/>
                <w:color w:val="000000"/>
                <w:szCs w:val="21"/>
              </w:rPr>
            </w:pPr>
            <w:r>
              <w:rPr>
                <w:rFonts w:hint="eastAsia"/>
                <w:szCs w:val="21"/>
              </w:rPr>
              <w:t>YD/T 2306-2011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pPr>
              <w:snapToGrid w:val="0"/>
              <w:jc w:val="center"/>
              <w:rPr>
                <w:rFonts w:ascii="Times New Roman" w:hAnsi="Times New Roman"/>
                <w:color w:val="000000"/>
                <w:szCs w:val="21"/>
              </w:rPr>
            </w:pPr>
            <w:r>
              <w:rPr>
                <w:rFonts w:ascii="Times New Roman" w:hAnsi="Times New Roman"/>
                <w:color w:val="000000"/>
                <w:szCs w:val="21"/>
              </w:rPr>
              <w:t>9</w:t>
            </w:r>
          </w:p>
        </w:tc>
        <w:tc>
          <w:tcPr>
            <w:tcW w:w="4773" w:type="dxa"/>
            <w:vAlign w:val="center"/>
          </w:tcPr>
          <w:p>
            <w:pPr>
              <w:jc w:val="center"/>
              <w:rPr>
                <w:szCs w:val="21"/>
              </w:rPr>
            </w:pPr>
            <w:r>
              <w:rPr>
                <w:rFonts w:hint="eastAsia"/>
                <w:szCs w:val="21"/>
              </w:rPr>
              <w:t>外壳表面温度</w:t>
            </w:r>
          </w:p>
        </w:tc>
        <w:tc>
          <w:tcPr>
            <w:tcW w:w="3691" w:type="dxa"/>
            <w:vAlign w:val="center"/>
          </w:tcPr>
          <w:p>
            <w:pPr>
              <w:snapToGrid w:val="0"/>
              <w:spacing w:line="300" w:lineRule="exact"/>
              <w:jc w:val="center"/>
              <w:rPr>
                <w:rFonts w:ascii="Times New Roman" w:hAnsi="Times New Roman"/>
                <w:color w:val="000000"/>
                <w:szCs w:val="21"/>
              </w:rPr>
            </w:pPr>
            <w:r>
              <w:rPr>
                <w:rFonts w:hint="eastAsia"/>
                <w:szCs w:val="21"/>
              </w:rPr>
              <w:t>YD/T 2306-2011</w:t>
            </w:r>
          </w:p>
        </w:tc>
      </w:tr>
    </w:tbl>
    <w:p>
      <w:pPr>
        <w:snapToGrid w:val="0"/>
        <w:spacing w:line="440" w:lineRule="exact"/>
        <w:ind w:firstLine="420" w:firstLineChars="200"/>
        <w:jc w:val="center"/>
        <w:rPr>
          <w:rFonts w:hint="eastAsia" w:ascii="宋体" w:hAnsi="宋体"/>
          <w:szCs w:val="21"/>
        </w:rPr>
      </w:pPr>
      <w:r>
        <w:rPr>
          <w:rFonts w:hint="eastAsia" w:ascii="宋体" w:hAnsi="宋体"/>
          <w:szCs w:val="21"/>
        </w:rPr>
        <w:t>表2 明示GB 4943.1-2022标准或未明示标准的车载充电器</w:t>
      </w:r>
    </w:p>
    <w:tbl>
      <w:tblPr>
        <w:tblStyle w:val="7"/>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4773"/>
        <w:gridCol w:w="3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blHeader/>
        </w:trPr>
        <w:tc>
          <w:tcPr>
            <w:tcW w:w="710" w:type="dxa"/>
            <w:vAlign w:val="center"/>
          </w:tcPr>
          <w:p>
            <w:pPr>
              <w:snapToGrid w:val="0"/>
              <w:jc w:val="center"/>
              <w:rPr>
                <w:rFonts w:ascii="Times New Roman" w:hAnsi="Times New Roman"/>
                <w:color w:val="000000"/>
                <w:szCs w:val="21"/>
              </w:rPr>
            </w:pPr>
            <w:r>
              <w:rPr>
                <w:rFonts w:ascii="Times New Roman" w:hAnsi="Times New Roman"/>
                <w:color w:val="000000"/>
                <w:szCs w:val="21"/>
              </w:rPr>
              <w:t>序号</w:t>
            </w:r>
          </w:p>
        </w:tc>
        <w:tc>
          <w:tcPr>
            <w:tcW w:w="4773" w:type="dxa"/>
            <w:vAlign w:val="center"/>
          </w:tcPr>
          <w:p>
            <w:pPr>
              <w:snapToGrid w:val="0"/>
              <w:jc w:val="center"/>
              <w:rPr>
                <w:rFonts w:ascii="Times New Roman" w:hAnsi="Times New Roman"/>
                <w:color w:val="000000"/>
                <w:szCs w:val="21"/>
              </w:rPr>
            </w:pPr>
            <w:r>
              <w:rPr>
                <w:rFonts w:ascii="Times New Roman" w:hAnsi="Times New Roman"/>
                <w:color w:val="000000"/>
                <w:szCs w:val="21"/>
              </w:rPr>
              <w:t>检验项目</w:t>
            </w:r>
          </w:p>
        </w:tc>
        <w:tc>
          <w:tcPr>
            <w:tcW w:w="3691" w:type="dxa"/>
            <w:vAlign w:val="center"/>
          </w:tcPr>
          <w:p>
            <w:pPr>
              <w:snapToGrid w:val="0"/>
              <w:jc w:val="center"/>
              <w:rPr>
                <w:rFonts w:ascii="Times New Roman" w:hAnsi="Times New Roman"/>
                <w:color w:val="000000"/>
                <w:szCs w:val="21"/>
              </w:rPr>
            </w:pPr>
            <w:r>
              <w:rPr>
                <w:rFonts w:ascii="Times New Roman" w:hAnsi="Times New Roman"/>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blHeader/>
        </w:trPr>
        <w:tc>
          <w:tcPr>
            <w:tcW w:w="710" w:type="dxa"/>
            <w:vAlign w:val="center"/>
          </w:tcPr>
          <w:p>
            <w:pPr>
              <w:snapToGrid w:val="0"/>
              <w:spacing w:before="100" w:beforeAutospacing="1" w:after="100" w:afterAutospacing="1"/>
              <w:jc w:val="center"/>
              <w:rPr>
                <w:rFonts w:ascii="Times New Roman" w:hAnsi="Times New Roman"/>
                <w:color w:val="000000"/>
                <w:szCs w:val="21"/>
              </w:rPr>
            </w:pPr>
            <w:r>
              <w:rPr>
                <w:rFonts w:ascii="Times New Roman" w:hAnsi="Times New Roman"/>
                <w:color w:val="000000"/>
                <w:szCs w:val="21"/>
              </w:rPr>
              <w:t>1</w:t>
            </w:r>
          </w:p>
        </w:tc>
        <w:tc>
          <w:tcPr>
            <w:tcW w:w="4773" w:type="dxa"/>
            <w:vAlign w:val="center"/>
          </w:tcPr>
          <w:p>
            <w:pPr>
              <w:jc w:val="center"/>
              <w:rPr>
                <w:szCs w:val="21"/>
              </w:rPr>
            </w:pPr>
            <w:r>
              <w:rPr>
                <w:rFonts w:hint="eastAsia"/>
                <w:szCs w:val="21"/>
              </w:rPr>
              <w:t>输入试验</w:t>
            </w:r>
          </w:p>
        </w:tc>
        <w:tc>
          <w:tcPr>
            <w:tcW w:w="3691" w:type="dxa"/>
            <w:vAlign w:val="center"/>
          </w:tcPr>
          <w:p>
            <w:pPr>
              <w:snapToGrid w:val="0"/>
              <w:spacing w:line="300" w:lineRule="exact"/>
              <w:jc w:val="center"/>
              <w:rPr>
                <w:rFonts w:ascii="Times New Roman" w:hAnsi="Times New Roman"/>
                <w:color w:val="000000"/>
                <w:szCs w:val="21"/>
              </w:rPr>
            </w:pPr>
            <w:r>
              <w:rPr>
                <w:rFonts w:ascii="Times New Roman" w:hAnsi="Times New Roman"/>
                <w:color w:val="00000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pPr>
              <w:snapToGrid w:val="0"/>
              <w:jc w:val="center"/>
              <w:rPr>
                <w:rFonts w:ascii="Times New Roman" w:hAnsi="Times New Roman"/>
                <w:color w:val="000000"/>
                <w:szCs w:val="21"/>
              </w:rPr>
            </w:pPr>
            <w:r>
              <w:rPr>
                <w:rFonts w:ascii="Times New Roman" w:hAnsi="Times New Roman"/>
                <w:color w:val="000000"/>
                <w:szCs w:val="21"/>
              </w:rPr>
              <w:t>2</w:t>
            </w:r>
          </w:p>
        </w:tc>
        <w:tc>
          <w:tcPr>
            <w:tcW w:w="4773" w:type="dxa"/>
            <w:vAlign w:val="center"/>
          </w:tcPr>
          <w:p>
            <w:pPr>
              <w:jc w:val="center"/>
              <w:rPr>
                <w:szCs w:val="21"/>
              </w:rPr>
            </w:pPr>
            <w:r>
              <w:rPr>
                <w:rFonts w:hint="eastAsia"/>
                <w:szCs w:val="21"/>
              </w:rPr>
              <w:t>电能量源ES1和ES2的限值</w:t>
            </w:r>
          </w:p>
        </w:tc>
        <w:tc>
          <w:tcPr>
            <w:tcW w:w="3691" w:type="dxa"/>
            <w:vAlign w:val="center"/>
          </w:tcPr>
          <w:p>
            <w:pPr>
              <w:snapToGrid w:val="0"/>
              <w:jc w:val="center"/>
              <w:rPr>
                <w:rFonts w:ascii="Times New Roman" w:hAnsi="Times New Roman"/>
                <w:color w:val="000000"/>
                <w:szCs w:val="21"/>
              </w:rPr>
            </w:pPr>
            <w:r>
              <w:rPr>
                <w:rFonts w:ascii="Times New Roman" w:hAnsi="Times New Roman"/>
                <w:color w:val="00000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pPr>
              <w:snapToGrid w:val="0"/>
              <w:jc w:val="center"/>
              <w:rPr>
                <w:rFonts w:ascii="Times New Roman" w:hAnsi="Times New Roman"/>
                <w:color w:val="000000"/>
                <w:szCs w:val="21"/>
              </w:rPr>
            </w:pPr>
            <w:r>
              <w:rPr>
                <w:rFonts w:ascii="Times New Roman" w:hAnsi="Times New Roman"/>
                <w:color w:val="000000"/>
                <w:szCs w:val="21"/>
              </w:rPr>
              <w:t>3</w:t>
            </w:r>
          </w:p>
        </w:tc>
        <w:tc>
          <w:tcPr>
            <w:tcW w:w="4773" w:type="dxa"/>
            <w:vAlign w:val="center"/>
          </w:tcPr>
          <w:p>
            <w:pPr>
              <w:jc w:val="center"/>
              <w:rPr>
                <w:szCs w:val="21"/>
              </w:rPr>
            </w:pPr>
            <w:r>
              <w:rPr>
                <w:rFonts w:hint="eastAsia"/>
                <w:szCs w:val="21"/>
              </w:rPr>
              <w:t>电能量源的可触及性和安全防护</w:t>
            </w:r>
          </w:p>
        </w:tc>
        <w:tc>
          <w:tcPr>
            <w:tcW w:w="3691" w:type="dxa"/>
            <w:vAlign w:val="center"/>
          </w:tcPr>
          <w:p>
            <w:pPr>
              <w:snapToGrid w:val="0"/>
              <w:jc w:val="center"/>
              <w:rPr>
                <w:rFonts w:ascii="Times New Roman" w:hAnsi="Times New Roman"/>
                <w:color w:val="000000"/>
                <w:szCs w:val="21"/>
              </w:rPr>
            </w:pPr>
            <w:r>
              <w:rPr>
                <w:rFonts w:ascii="Times New Roman" w:hAnsi="Times New Roman"/>
                <w:color w:val="00000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pPr>
              <w:snapToGrid w:val="0"/>
              <w:spacing w:before="100" w:beforeAutospacing="1" w:after="100" w:afterAutospacing="1"/>
              <w:jc w:val="center"/>
              <w:rPr>
                <w:rFonts w:ascii="Times New Roman" w:hAnsi="Times New Roman"/>
                <w:color w:val="000000"/>
                <w:szCs w:val="21"/>
              </w:rPr>
            </w:pPr>
            <w:r>
              <w:rPr>
                <w:rFonts w:ascii="Times New Roman" w:hAnsi="Times New Roman"/>
                <w:color w:val="000000"/>
                <w:szCs w:val="21"/>
              </w:rPr>
              <w:t>4</w:t>
            </w:r>
          </w:p>
        </w:tc>
        <w:tc>
          <w:tcPr>
            <w:tcW w:w="4773" w:type="dxa"/>
            <w:vAlign w:val="center"/>
          </w:tcPr>
          <w:p>
            <w:pPr>
              <w:jc w:val="center"/>
              <w:rPr>
                <w:szCs w:val="21"/>
              </w:rPr>
            </w:pPr>
            <w:r>
              <w:rPr>
                <w:rFonts w:hint="eastAsia"/>
                <w:szCs w:val="21"/>
              </w:rPr>
              <w:t>导体的固定</w:t>
            </w:r>
          </w:p>
        </w:tc>
        <w:tc>
          <w:tcPr>
            <w:tcW w:w="3691" w:type="dxa"/>
            <w:vAlign w:val="center"/>
          </w:tcPr>
          <w:p>
            <w:pPr>
              <w:snapToGrid w:val="0"/>
              <w:jc w:val="center"/>
              <w:rPr>
                <w:rFonts w:ascii="Times New Roman" w:hAnsi="Times New Roman"/>
                <w:color w:val="000000"/>
                <w:szCs w:val="21"/>
              </w:rPr>
            </w:pPr>
            <w:r>
              <w:rPr>
                <w:rFonts w:ascii="Times New Roman" w:hAnsi="Times New Roman"/>
                <w:color w:val="00000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pPr>
              <w:snapToGrid w:val="0"/>
              <w:spacing w:before="100" w:beforeAutospacing="1" w:after="100" w:afterAutospacing="1"/>
              <w:jc w:val="center"/>
              <w:rPr>
                <w:rFonts w:ascii="Times New Roman" w:hAnsi="Times New Roman"/>
                <w:color w:val="000000"/>
                <w:szCs w:val="21"/>
              </w:rPr>
            </w:pPr>
            <w:r>
              <w:rPr>
                <w:rFonts w:ascii="Times New Roman" w:hAnsi="Times New Roman"/>
                <w:color w:val="000000"/>
                <w:szCs w:val="21"/>
              </w:rPr>
              <w:t>5</w:t>
            </w:r>
          </w:p>
        </w:tc>
        <w:tc>
          <w:tcPr>
            <w:tcW w:w="4773" w:type="dxa"/>
            <w:vAlign w:val="center"/>
          </w:tcPr>
          <w:p>
            <w:pPr>
              <w:jc w:val="center"/>
              <w:rPr>
                <w:szCs w:val="21"/>
              </w:rPr>
            </w:pPr>
            <w:r>
              <w:rPr>
                <w:rFonts w:hint="eastAsia"/>
                <w:szCs w:val="21"/>
              </w:rPr>
              <w:t>连接附加设备引起着火的安全防护</w:t>
            </w:r>
          </w:p>
        </w:tc>
        <w:tc>
          <w:tcPr>
            <w:tcW w:w="3691" w:type="dxa"/>
            <w:vAlign w:val="center"/>
          </w:tcPr>
          <w:p>
            <w:pPr>
              <w:snapToGrid w:val="0"/>
              <w:spacing w:before="100" w:beforeAutospacing="1" w:after="100" w:afterAutospacing="1"/>
              <w:jc w:val="center"/>
              <w:rPr>
                <w:rFonts w:ascii="Times New Roman" w:hAnsi="Times New Roman"/>
                <w:color w:val="000000"/>
                <w:szCs w:val="21"/>
              </w:rPr>
            </w:pPr>
            <w:r>
              <w:rPr>
                <w:rFonts w:ascii="Times New Roman" w:hAnsi="Times New Roman"/>
                <w:color w:val="00000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pPr>
              <w:snapToGrid w:val="0"/>
              <w:jc w:val="center"/>
              <w:rPr>
                <w:rFonts w:ascii="Times New Roman" w:hAnsi="Times New Roman"/>
                <w:color w:val="000000"/>
                <w:szCs w:val="21"/>
              </w:rPr>
            </w:pPr>
            <w:r>
              <w:rPr>
                <w:rFonts w:ascii="Times New Roman" w:hAnsi="Times New Roman"/>
                <w:color w:val="000000"/>
                <w:szCs w:val="21"/>
              </w:rPr>
              <w:t>6</w:t>
            </w:r>
          </w:p>
        </w:tc>
        <w:tc>
          <w:tcPr>
            <w:tcW w:w="4773" w:type="dxa"/>
            <w:vAlign w:val="center"/>
          </w:tcPr>
          <w:p>
            <w:pPr>
              <w:jc w:val="center"/>
              <w:rPr>
                <w:szCs w:val="21"/>
              </w:rPr>
            </w:pPr>
            <w:r>
              <w:rPr>
                <w:rFonts w:hint="eastAsia"/>
                <w:szCs w:val="21"/>
              </w:rPr>
              <w:t>恒定力试验</w:t>
            </w:r>
          </w:p>
        </w:tc>
        <w:tc>
          <w:tcPr>
            <w:tcW w:w="3691" w:type="dxa"/>
            <w:vAlign w:val="center"/>
          </w:tcPr>
          <w:p>
            <w:pPr>
              <w:snapToGrid w:val="0"/>
              <w:spacing w:before="100" w:beforeAutospacing="1" w:after="100" w:afterAutospacing="1"/>
              <w:jc w:val="center"/>
              <w:rPr>
                <w:rFonts w:ascii="Times New Roman" w:hAnsi="Times New Roman"/>
                <w:color w:val="000000"/>
                <w:szCs w:val="21"/>
              </w:rPr>
            </w:pPr>
            <w:r>
              <w:rPr>
                <w:rFonts w:ascii="Times New Roman" w:hAnsi="Times New Roman"/>
                <w:color w:val="00000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pPr>
              <w:snapToGrid w:val="0"/>
              <w:jc w:val="center"/>
              <w:rPr>
                <w:rFonts w:ascii="Times New Roman" w:hAnsi="Times New Roman"/>
                <w:color w:val="000000"/>
                <w:szCs w:val="21"/>
              </w:rPr>
            </w:pPr>
            <w:r>
              <w:rPr>
                <w:rFonts w:ascii="Times New Roman" w:hAnsi="Times New Roman"/>
                <w:color w:val="000000"/>
                <w:szCs w:val="21"/>
              </w:rPr>
              <w:t>7</w:t>
            </w:r>
          </w:p>
        </w:tc>
        <w:tc>
          <w:tcPr>
            <w:tcW w:w="4773" w:type="dxa"/>
            <w:vAlign w:val="center"/>
          </w:tcPr>
          <w:p>
            <w:pPr>
              <w:jc w:val="center"/>
              <w:rPr>
                <w:szCs w:val="21"/>
              </w:rPr>
            </w:pPr>
            <w:r>
              <w:rPr>
                <w:rFonts w:hint="eastAsia"/>
                <w:szCs w:val="21"/>
              </w:rPr>
              <w:t>跌落试验</w:t>
            </w:r>
          </w:p>
        </w:tc>
        <w:tc>
          <w:tcPr>
            <w:tcW w:w="3691" w:type="dxa"/>
            <w:vAlign w:val="center"/>
          </w:tcPr>
          <w:p>
            <w:pPr>
              <w:snapToGrid w:val="0"/>
              <w:spacing w:before="100" w:beforeAutospacing="1" w:after="100" w:afterAutospacing="1"/>
              <w:jc w:val="center"/>
              <w:rPr>
                <w:rFonts w:ascii="Times New Roman" w:hAnsi="Times New Roman"/>
                <w:color w:val="000000"/>
                <w:szCs w:val="21"/>
              </w:rPr>
            </w:pPr>
            <w:r>
              <w:rPr>
                <w:rFonts w:ascii="Times New Roman" w:hAnsi="Times New Roman"/>
                <w:color w:val="00000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pPr>
              <w:snapToGrid w:val="0"/>
              <w:jc w:val="center"/>
              <w:rPr>
                <w:rFonts w:ascii="Times New Roman" w:hAnsi="Times New Roman"/>
                <w:color w:val="000000"/>
                <w:szCs w:val="21"/>
              </w:rPr>
            </w:pPr>
            <w:r>
              <w:rPr>
                <w:rFonts w:ascii="Times New Roman" w:hAnsi="Times New Roman"/>
                <w:color w:val="000000"/>
                <w:szCs w:val="21"/>
              </w:rPr>
              <w:t>8</w:t>
            </w:r>
          </w:p>
        </w:tc>
        <w:tc>
          <w:tcPr>
            <w:tcW w:w="4773" w:type="dxa"/>
            <w:vAlign w:val="center"/>
          </w:tcPr>
          <w:p>
            <w:pPr>
              <w:jc w:val="center"/>
              <w:rPr>
                <w:szCs w:val="21"/>
              </w:rPr>
            </w:pPr>
            <w:r>
              <w:rPr>
                <w:rFonts w:hint="eastAsia"/>
                <w:szCs w:val="21"/>
              </w:rPr>
              <w:t>有锐边锐角零部件的安全防护</w:t>
            </w:r>
          </w:p>
        </w:tc>
        <w:tc>
          <w:tcPr>
            <w:tcW w:w="3691" w:type="dxa"/>
            <w:vAlign w:val="center"/>
          </w:tcPr>
          <w:p>
            <w:pPr>
              <w:snapToGrid w:val="0"/>
              <w:jc w:val="center"/>
              <w:rPr>
                <w:rFonts w:ascii="Times New Roman" w:hAnsi="Times New Roman"/>
                <w:color w:val="000000"/>
                <w:szCs w:val="21"/>
              </w:rPr>
            </w:pPr>
            <w:r>
              <w:rPr>
                <w:rFonts w:ascii="Times New Roman" w:hAnsi="Times New Roman"/>
                <w:color w:val="00000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pPr>
              <w:snapToGrid w:val="0"/>
              <w:jc w:val="center"/>
              <w:rPr>
                <w:rFonts w:ascii="Times New Roman" w:hAnsi="Times New Roman"/>
                <w:color w:val="000000"/>
                <w:szCs w:val="21"/>
              </w:rPr>
            </w:pPr>
            <w:r>
              <w:rPr>
                <w:rFonts w:ascii="Times New Roman" w:hAnsi="Times New Roman"/>
                <w:color w:val="000000"/>
                <w:szCs w:val="21"/>
              </w:rPr>
              <w:t>9</w:t>
            </w:r>
          </w:p>
        </w:tc>
        <w:tc>
          <w:tcPr>
            <w:tcW w:w="4773" w:type="dxa"/>
            <w:vAlign w:val="center"/>
          </w:tcPr>
          <w:p>
            <w:pPr>
              <w:jc w:val="center"/>
              <w:rPr>
                <w:szCs w:val="21"/>
              </w:rPr>
            </w:pPr>
            <w:r>
              <w:rPr>
                <w:rFonts w:hint="eastAsia"/>
                <w:szCs w:val="21"/>
              </w:rPr>
              <w:t>接触温度限值</w:t>
            </w:r>
          </w:p>
        </w:tc>
        <w:tc>
          <w:tcPr>
            <w:tcW w:w="3691" w:type="dxa"/>
            <w:vAlign w:val="center"/>
          </w:tcPr>
          <w:p>
            <w:pPr>
              <w:snapToGrid w:val="0"/>
              <w:jc w:val="center"/>
              <w:rPr>
                <w:rFonts w:ascii="Times New Roman" w:hAnsi="Times New Roman"/>
                <w:color w:val="000000"/>
                <w:szCs w:val="21"/>
              </w:rPr>
            </w:pPr>
            <w:r>
              <w:rPr>
                <w:rFonts w:ascii="Times New Roman" w:hAnsi="Times New Roman"/>
                <w:color w:val="00000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pPr>
              <w:snapToGrid w:val="0"/>
              <w:jc w:val="center"/>
              <w:rPr>
                <w:rFonts w:ascii="Times New Roman" w:hAnsi="Times New Roman"/>
                <w:color w:val="000000"/>
                <w:szCs w:val="21"/>
              </w:rPr>
            </w:pPr>
            <w:r>
              <w:rPr>
                <w:rFonts w:ascii="Times New Roman" w:hAnsi="Times New Roman"/>
                <w:color w:val="000000"/>
                <w:szCs w:val="21"/>
              </w:rPr>
              <w:t>10</w:t>
            </w:r>
          </w:p>
        </w:tc>
        <w:tc>
          <w:tcPr>
            <w:tcW w:w="4773" w:type="dxa"/>
            <w:vAlign w:val="center"/>
          </w:tcPr>
          <w:p>
            <w:pPr>
              <w:jc w:val="center"/>
              <w:rPr>
                <w:szCs w:val="21"/>
              </w:rPr>
            </w:pPr>
            <w:r>
              <w:rPr>
                <w:rFonts w:hint="eastAsia"/>
                <w:szCs w:val="21"/>
              </w:rPr>
              <w:t>直接安装导电金属零部件的热塑性零部件</w:t>
            </w:r>
          </w:p>
        </w:tc>
        <w:tc>
          <w:tcPr>
            <w:tcW w:w="3691" w:type="dxa"/>
            <w:vAlign w:val="center"/>
          </w:tcPr>
          <w:p>
            <w:pPr>
              <w:snapToGrid w:val="0"/>
              <w:spacing w:before="100" w:beforeAutospacing="1" w:after="100" w:afterAutospacing="1"/>
              <w:jc w:val="center"/>
              <w:rPr>
                <w:rFonts w:ascii="Times New Roman" w:hAnsi="Times New Roman"/>
                <w:color w:val="000000"/>
                <w:szCs w:val="21"/>
              </w:rPr>
            </w:pPr>
            <w:r>
              <w:rPr>
                <w:rFonts w:ascii="Times New Roman" w:hAnsi="Times New Roman"/>
                <w:color w:val="000000"/>
                <w:szCs w:val="21"/>
              </w:rPr>
              <w:t>GB 4943.1—2022</w:t>
            </w:r>
          </w:p>
        </w:tc>
      </w:tr>
    </w:tbl>
    <w:p>
      <w:pPr>
        <w:snapToGrid w:val="0"/>
        <w:spacing w:line="440" w:lineRule="exact"/>
        <w:ind w:firstLine="420" w:firstLineChars="200"/>
        <w:rPr>
          <w:rFonts w:hint="eastAsia" w:ascii="宋体" w:hAnsi="宋体"/>
          <w:szCs w:val="21"/>
        </w:rPr>
      </w:pPr>
      <w:r>
        <w:rPr>
          <w:rFonts w:hint="eastAsia" w:ascii="宋体" w:hAnsi="宋体"/>
          <w:szCs w:val="21"/>
        </w:rPr>
        <w:t>执行企业标准、团体标准、地方标准的产品，检验项目参照上述内容执行。</w:t>
      </w:r>
    </w:p>
    <w:p>
      <w:pPr>
        <w:snapToGrid w:val="0"/>
        <w:spacing w:line="440" w:lineRule="exact"/>
        <w:ind w:firstLine="359" w:firstLineChars="171"/>
        <w:rPr>
          <w:rFonts w:ascii="宋体" w:hAnsi="宋体"/>
          <w:szCs w:val="21"/>
        </w:rPr>
      </w:pPr>
      <w:r>
        <w:rPr>
          <w:rFonts w:hint="eastAsia" w:ascii="宋体" w:hAnsi="宋体"/>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rFonts w:ascii="宋体" w:hAnsi="宋体"/>
          <w:szCs w:val="21"/>
        </w:rPr>
      </w:pPr>
    </w:p>
    <w:p>
      <w:pPr>
        <w:spacing w:line="360" w:lineRule="auto"/>
        <w:rPr>
          <w:rFonts w:hint="eastAsia" w:ascii="黑体" w:hAnsi="黑体" w:eastAsia="黑体"/>
          <w:szCs w:val="21"/>
        </w:rPr>
      </w:pPr>
      <w:r>
        <w:rPr>
          <w:rFonts w:hint="eastAsia" w:ascii="黑体" w:hAnsi="黑体" w:eastAsia="黑体"/>
          <w:szCs w:val="21"/>
        </w:rPr>
        <w:t>3 判定规则</w:t>
      </w:r>
    </w:p>
    <w:p>
      <w:pPr>
        <w:snapToGrid w:val="0"/>
        <w:spacing w:line="440" w:lineRule="exact"/>
        <w:rPr>
          <w:rFonts w:ascii="宋体" w:hAnsi="宋体"/>
          <w:szCs w:val="21"/>
        </w:rPr>
      </w:pPr>
      <w:r>
        <w:rPr>
          <w:rFonts w:hint="eastAsia" w:ascii="宋体" w:hAnsi="宋体"/>
          <w:szCs w:val="21"/>
        </w:rPr>
        <w:t>3.1依据标准</w:t>
      </w:r>
    </w:p>
    <w:p>
      <w:pPr>
        <w:snapToGrid w:val="0"/>
        <w:spacing w:line="440" w:lineRule="exact"/>
        <w:ind w:firstLine="417" w:firstLineChars="199"/>
        <w:rPr>
          <w:rFonts w:hint="eastAsia" w:ascii="Times New Roman" w:hAnsi="Times New Roman"/>
          <w:color w:val="000000"/>
          <w:szCs w:val="21"/>
        </w:rPr>
      </w:pPr>
      <w:r>
        <w:rPr>
          <w:rFonts w:ascii="Times New Roman" w:hAnsi="Times New Roman"/>
          <w:color w:val="000000"/>
          <w:szCs w:val="21"/>
        </w:rPr>
        <w:t>GB 4943.1</w:t>
      </w:r>
      <w:r>
        <w:rPr>
          <w:rFonts w:ascii="宋体" w:hAnsi="宋体"/>
          <w:color w:val="000000"/>
          <w:szCs w:val="21"/>
        </w:rPr>
        <w:t>—</w:t>
      </w:r>
      <w:r>
        <w:rPr>
          <w:rFonts w:ascii="Times New Roman" w:hAnsi="Times New Roman"/>
          <w:color w:val="000000"/>
          <w:szCs w:val="21"/>
        </w:rPr>
        <w:t>2022 音视频、信息技术和通信技术设</w:t>
      </w:r>
      <w:r>
        <w:rPr>
          <w:rFonts w:hint="eastAsia" w:ascii="Times New Roman" w:hAnsi="Times New Roman"/>
          <w:color w:val="000000"/>
          <w:szCs w:val="21"/>
        </w:rPr>
        <w:t xml:space="preserve">备  </w:t>
      </w:r>
      <w:r>
        <w:rPr>
          <w:rFonts w:ascii="Times New Roman" w:hAnsi="Times New Roman"/>
          <w:color w:val="000000"/>
          <w:szCs w:val="21"/>
        </w:rPr>
        <w:t>第1部分：安全要求</w:t>
      </w:r>
    </w:p>
    <w:p>
      <w:pPr>
        <w:snapToGrid w:val="0"/>
        <w:spacing w:line="440" w:lineRule="exact"/>
        <w:ind w:firstLine="417" w:firstLineChars="199"/>
        <w:rPr>
          <w:rFonts w:ascii="Times New Roman" w:hAnsi="Times New Roman"/>
          <w:color w:val="000000"/>
          <w:szCs w:val="21"/>
        </w:rPr>
      </w:pPr>
      <w:r>
        <w:rPr>
          <w:rFonts w:hint="eastAsia" w:ascii="Times New Roman" w:hAnsi="Times New Roman"/>
          <w:color w:val="000000"/>
          <w:szCs w:val="21"/>
        </w:rPr>
        <w:t>YD/T 2306-2011移动通信终端车载直流电源适配器及接口技术要求和测试方法</w:t>
      </w:r>
    </w:p>
    <w:p>
      <w:pPr>
        <w:snapToGrid w:val="0"/>
        <w:spacing w:line="440" w:lineRule="exact"/>
        <w:ind w:firstLine="420" w:firstLineChars="200"/>
        <w:rPr>
          <w:rFonts w:hint="eastAsia" w:ascii="宋体" w:hAnsi="宋体"/>
          <w:szCs w:val="21"/>
        </w:rPr>
      </w:pPr>
      <w:r>
        <w:rPr>
          <w:rFonts w:hint="eastAsia" w:ascii="宋体" w:hAnsi="宋体"/>
          <w:szCs w:val="21"/>
        </w:rPr>
        <w:t>现行有效的企业标准、团体标准、地方标准及产品明示质量要求</w:t>
      </w:r>
    </w:p>
    <w:p>
      <w:pPr>
        <w:snapToGrid w:val="0"/>
        <w:spacing w:line="440" w:lineRule="exact"/>
        <w:rPr>
          <w:rFonts w:ascii="宋体" w:hAnsi="宋体"/>
          <w:szCs w:val="21"/>
        </w:rPr>
      </w:pPr>
      <w:r>
        <w:rPr>
          <w:rFonts w:hint="eastAsia" w:ascii="宋体" w:hAnsi="宋体"/>
          <w:szCs w:val="21"/>
        </w:rPr>
        <w:t>3.2判定原则</w:t>
      </w:r>
    </w:p>
    <w:p>
      <w:pPr>
        <w:snapToGrid w:val="0"/>
        <w:spacing w:line="440" w:lineRule="exact"/>
        <w:ind w:firstLine="417" w:firstLineChars="199"/>
        <w:rPr>
          <w:rFonts w:hint="eastAsia" w:ascii="宋体" w:hAnsi="宋体"/>
          <w:szCs w:val="21"/>
        </w:rPr>
      </w:pPr>
      <w:r>
        <w:rPr>
          <w:rFonts w:hint="eastAsia" w:ascii="宋体" w:hAnsi="宋体"/>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hint="eastAsia"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eastAsia"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17" w:firstLineChars="199"/>
        <w:rPr>
          <w:rFonts w:hint="eastAsia" w:ascii="宋体" w:hAnsi="宋体"/>
          <w:szCs w:val="21"/>
        </w:rPr>
      </w:pPr>
      <w:r>
        <w:rPr>
          <w:rFonts w:hint="eastAsia" w:ascii="宋体" w:hAnsi="宋体"/>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hint="eastAsia"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88"/>
    <w:family w:val="modern"/>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简体">
    <w:altName w:val="方正仿宋_GBK"/>
    <w:panose1 w:val="00000000000000000000"/>
    <w:charset w:val="86"/>
    <w:family w:val="script"/>
    <w:pitch w:val="default"/>
    <w:sig w:usb0="00000000" w:usb1="00000000"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eastAsia="zh-CN"/>
      </w:rPr>
      <w:fldChar w:fldCharType="begin"/>
    </w:r>
    <w:r>
      <w:rPr>
        <w:lang w:val="zh-CN" w:eastAsia="zh-CN"/>
      </w:rPr>
      <w:instrText xml:space="preserve"> PAGE   \* MERGEFORMAT </w:instrText>
    </w:r>
    <w:r>
      <w:rPr>
        <w:lang w:val="zh-CN" w:eastAsia="zh-CN"/>
      </w:rPr>
      <w:fldChar w:fldCharType="separate"/>
    </w:r>
    <w:r>
      <w:rPr>
        <w:lang w:val="en-US" w:eastAsia="zh-CN"/>
      </w:rPr>
      <w:t>1</w:t>
    </w:r>
    <w:r>
      <w:rPr>
        <w:lang w:val="zh-CN" w:eastAsia="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A2OWU5ODBiYTQ1ZDhlNWNhMGE0ZmQ3OWIzYWVkMDIifQ=="/>
  </w:docVars>
  <w:rsids>
    <w:rsidRoot w:val="00172A27"/>
    <w:rsid w:val="00012C69"/>
    <w:rsid w:val="00025598"/>
    <w:rsid w:val="00027C0D"/>
    <w:rsid w:val="00030361"/>
    <w:rsid w:val="00043CE8"/>
    <w:rsid w:val="00051A44"/>
    <w:rsid w:val="00052999"/>
    <w:rsid w:val="0006530E"/>
    <w:rsid w:val="00081CBD"/>
    <w:rsid w:val="00097246"/>
    <w:rsid w:val="000976DE"/>
    <w:rsid w:val="000B192B"/>
    <w:rsid w:val="000C2927"/>
    <w:rsid w:val="000D0E34"/>
    <w:rsid w:val="0010387D"/>
    <w:rsid w:val="001070BA"/>
    <w:rsid w:val="00114369"/>
    <w:rsid w:val="00130014"/>
    <w:rsid w:val="0016383D"/>
    <w:rsid w:val="001753CE"/>
    <w:rsid w:val="001809DD"/>
    <w:rsid w:val="001A2EF4"/>
    <w:rsid w:val="001B6C59"/>
    <w:rsid w:val="001C12A8"/>
    <w:rsid w:val="001D703C"/>
    <w:rsid w:val="001E5D51"/>
    <w:rsid w:val="001F1DB6"/>
    <w:rsid w:val="00202991"/>
    <w:rsid w:val="0020345A"/>
    <w:rsid w:val="00203B57"/>
    <w:rsid w:val="002056F9"/>
    <w:rsid w:val="00232530"/>
    <w:rsid w:val="0025077B"/>
    <w:rsid w:val="00253624"/>
    <w:rsid w:val="00255026"/>
    <w:rsid w:val="00262A5A"/>
    <w:rsid w:val="0027523A"/>
    <w:rsid w:val="002830B2"/>
    <w:rsid w:val="0028605F"/>
    <w:rsid w:val="002919AF"/>
    <w:rsid w:val="00292301"/>
    <w:rsid w:val="00292F37"/>
    <w:rsid w:val="002A1C72"/>
    <w:rsid w:val="002A5D8D"/>
    <w:rsid w:val="002B019F"/>
    <w:rsid w:val="002B3828"/>
    <w:rsid w:val="002C6519"/>
    <w:rsid w:val="002D0DFC"/>
    <w:rsid w:val="002D10E8"/>
    <w:rsid w:val="002D2F18"/>
    <w:rsid w:val="002D7F8A"/>
    <w:rsid w:val="002E0D1D"/>
    <w:rsid w:val="002E3084"/>
    <w:rsid w:val="002F5399"/>
    <w:rsid w:val="00305FD7"/>
    <w:rsid w:val="003203A3"/>
    <w:rsid w:val="003401C2"/>
    <w:rsid w:val="00364159"/>
    <w:rsid w:val="003735FD"/>
    <w:rsid w:val="00381D7D"/>
    <w:rsid w:val="003921DC"/>
    <w:rsid w:val="00393A28"/>
    <w:rsid w:val="003B24FB"/>
    <w:rsid w:val="003C388C"/>
    <w:rsid w:val="003E61BF"/>
    <w:rsid w:val="003E7E92"/>
    <w:rsid w:val="00405EC6"/>
    <w:rsid w:val="00445E86"/>
    <w:rsid w:val="00465BE2"/>
    <w:rsid w:val="00474E04"/>
    <w:rsid w:val="00490A3A"/>
    <w:rsid w:val="004B0EC9"/>
    <w:rsid w:val="004C19EB"/>
    <w:rsid w:val="004D0C5A"/>
    <w:rsid w:val="004D2CBC"/>
    <w:rsid w:val="004E1396"/>
    <w:rsid w:val="004F72CE"/>
    <w:rsid w:val="00516AF9"/>
    <w:rsid w:val="00521C7E"/>
    <w:rsid w:val="00547388"/>
    <w:rsid w:val="00551A57"/>
    <w:rsid w:val="005622CB"/>
    <w:rsid w:val="00562835"/>
    <w:rsid w:val="00563EBC"/>
    <w:rsid w:val="0056640F"/>
    <w:rsid w:val="00572FF9"/>
    <w:rsid w:val="0057742C"/>
    <w:rsid w:val="00590F10"/>
    <w:rsid w:val="005B47C9"/>
    <w:rsid w:val="005B7550"/>
    <w:rsid w:val="005C11C5"/>
    <w:rsid w:val="005C5F12"/>
    <w:rsid w:val="005D0891"/>
    <w:rsid w:val="005D382D"/>
    <w:rsid w:val="005D44C8"/>
    <w:rsid w:val="005F56A0"/>
    <w:rsid w:val="0064018C"/>
    <w:rsid w:val="006A5728"/>
    <w:rsid w:val="006A5B9B"/>
    <w:rsid w:val="006B7767"/>
    <w:rsid w:val="006C058C"/>
    <w:rsid w:val="006C0FB8"/>
    <w:rsid w:val="006C4898"/>
    <w:rsid w:val="006D2A5D"/>
    <w:rsid w:val="006D2B75"/>
    <w:rsid w:val="006D7400"/>
    <w:rsid w:val="006D7E95"/>
    <w:rsid w:val="006E1171"/>
    <w:rsid w:val="006E1774"/>
    <w:rsid w:val="006E7FB1"/>
    <w:rsid w:val="006F0971"/>
    <w:rsid w:val="007050E3"/>
    <w:rsid w:val="00714187"/>
    <w:rsid w:val="0072269B"/>
    <w:rsid w:val="0072334C"/>
    <w:rsid w:val="007426D2"/>
    <w:rsid w:val="00745419"/>
    <w:rsid w:val="00757177"/>
    <w:rsid w:val="00757D96"/>
    <w:rsid w:val="00761838"/>
    <w:rsid w:val="00793707"/>
    <w:rsid w:val="00795A45"/>
    <w:rsid w:val="007B2850"/>
    <w:rsid w:val="007C5F17"/>
    <w:rsid w:val="007D37D5"/>
    <w:rsid w:val="007F13EF"/>
    <w:rsid w:val="007F1943"/>
    <w:rsid w:val="00815D7E"/>
    <w:rsid w:val="00825A9B"/>
    <w:rsid w:val="00827C23"/>
    <w:rsid w:val="0084098A"/>
    <w:rsid w:val="00842684"/>
    <w:rsid w:val="008515DA"/>
    <w:rsid w:val="008623F8"/>
    <w:rsid w:val="00875267"/>
    <w:rsid w:val="0088228D"/>
    <w:rsid w:val="0088233E"/>
    <w:rsid w:val="008861EE"/>
    <w:rsid w:val="00895960"/>
    <w:rsid w:val="00895BEA"/>
    <w:rsid w:val="008A3497"/>
    <w:rsid w:val="008A5A18"/>
    <w:rsid w:val="008A70AC"/>
    <w:rsid w:val="008C4FA0"/>
    <w:rsid w:val="008F1561"/>
    <w:rsid w:val="008F7287"/>
    <w:rsid w:val="008F7616"/>
    <w:rsid w:val="00915E7E"/>
    <w:rsid w:val="00916E8E"/>
    <w:rsid w:val="00917A54"/>
    <w:rsid w:val="00933CFC"/>
    <w:rsid w:val="00944D4D"/>
    <w:rsid w:val="00956FAD"/>
    <w:rsid w:val="009700E2"/>
    <w:rsid w:val="0098578E"/>
    <w:rsid w:val="009879CE"/>
    <w:rsid w:val="00994C19"/>
    <w:rsid w:val="00997126"/>
    <w:rsid w:val="009A1C25"/>
    <w:rsid w:val="009B3BE0"/>
    <w:rsid w:val="009B4B2E"/>
    <w:rsid w:val="009B7314"/>
    <w:rsid w:val="009B793F"/>
    <w:rsid w:val="009C7685"/>
    <w:rsid w:val="009E7342"/>
    <w:rsid w:val="009F3696"/>
    <w:rsid w:val="00A25E53"/>
    <w:rsid w:val="00A43553"/>
    <w:rsid w:val="00A6326B"/>
    <w:rsid w:val="00A7324C"/>
    <w:rsid w:val="00A74A02"/>
    <w:rsid w:val="00A862BF"/>
    <w:rsid w:val="00A93D6E"/>
    <w:rsid w:val="00A97BA5"/>
    <w:rsid w:val="00AA42E2"/>
    <w:rsid w:val="00AC0BFC"/>
    <w:rsid w:val="00AC1BB2"/>
    <w:rsid w:val="00AC5391"/>
    <w:rsid w:val="00AF5BE1"/>
    <w:rsid w:val="00AF633A"/>
    <w:rsid w:val="00B02CDD"/>
    <w:rsid w:val="00B31DD7"/>
    <w:rsid w:val="00B549B5"/>
    <w:rsid w:val="00BB2CD9"/>
    <w:rsid w:val="00BB6932"/>
    <w:rsid w:val="00BD400C"/>
    <w:rsid w:val="00BE09B4"/>
    <w:rsid w:val="00BE3548"/>
    <w:rsid w:val="00BE4F46"/>
    <w:rsid w:val="00BF2B8C"/>
    <w:rsid w:val="00C005D7"/>
    <w:rsid w:val="00C061B9"/>
    <w:rsid w:val="00C26074"/>
    <w:rsid w:val="00C26845"/>
    <w:rsid w:val="00C27AB4"/>
    <w:rsid w:val="00C5006C"/>
    <w:rsid w:val="00C6724B"/>
    <w:rsid w:val="00C71487"/>
    <w:rsid w:val="00C8349F"/>
    <w:rsid w:val="00C83B0A"/>
    <w:rsid w:val="00C8540E"/>
    <w:rsid w:val="00C87B16"/>
    <w:rsid w:val="00C93B75"/>
    <w:rsid w:val="00C9573E"/>
    <w:rsid w:val="00CA2086"/>
    <w:rsid w:val="00CA5864"/>
    <w:rsid w:val="00CB25D6"/>
    <w:rsid w:val="00CB36B3"/>
    <w:rsid w:val="00CD595F"/>
    <w:rsid w:val="00CD682D"/>
    <w:rsid w:val="00CE033F"/>
    <w:rsid w:val="00CE1E0C"/>
    <w:rsid w:val="00CE277E"/>
    <w:rsid w:val="00CF1528"/>
    <w:rsid w:val="00D242C5"/>
    <w:rsid w:val="00D44794"/>
    <w:rsid w:val="00D44861"/>
    <w:rsid w:val="00D55FBD"/>
    <w:rsid w:val="00D56867"/>
    <w:rsid w:val="00D63CFA"/>
    <w:rsid w:val="00D722C7"/>
    <w:rsid w:val="00DA1B11"/>
    <w:rsid w:val="00DB4120"/>
    <w:rsid w:val="00DB4FB9"/>
    <w:rsid w:val="00DE471E"/>
    <w:rsid w:val="00E02A7F"/>
    <w:rsid w:val="00E04C81"/>
    <w:rsid w:val="00E074D8"/>
    <w:rsid w:val="00E0784E"/>
    <w:rsid w:val="00E07880"/>
    <w:rsid w:val="00E2189C"/>
    <w:rsid w:val="00E2303F"/>
    <w:rsid w:val="00E515C1"/>
    <w:rsid w:val="00E82621"/>
    <w:rsid w:val="00E97C55"/>
    <w:rsid w:val="00EA5653"/>
    <w:rsid w:val="00EB11A0"/>
    <w:rsid w:val="00EB639E"/>
    <w:rsid w:val="00EC2F93"/>
    <w:rsid w:val="00ED5232"/>
    <w:rsid w:val="00EE0412"/>
    <w:rsid w:val="00EE78B7"/>
    <w:rsid w:val="00EF1311"/>
    <w:rsid w:val="00F00842"/>
    <w:rsid w:val="00F1149A"/>
    <w:rsid w:val="00F22318"/>
    <w:rsid w:val="00F3387E"/>
    <w:rsid w:val="00F47B9A"/>
    <w:rsid w:val="00F5274C"/>
    <w:rsid w:val="00F55AEB"/>
    <w:rsid w:val="00F62AC9"/>
    <w:rsid w:val="00F75224"/>
    <w:rsid w:val="00F77C9A"/>
    <w:rsid w:val="00F8241B"/>
    <w:rsid w:val="00FA1330"/>
    <w:rsid w:val="00FA1BD1"/>
    <w:rsid w:val="00FA3672"/>
    <w:rsid w:val="00FB576C"/>
    <w:rsid w:val="00FC28F7"/>
    <w:rsid w:val="00FD2AA6"/>
    <w:rsid w:val="00FD2AF4"/>
    <w:rsid w:val="00FD3B17"/>
    <w:rsid w:val="00FD5226"/>
    <w:rsid w:val="00FE7E8A"/>
    <w:rsid w:val="03900595"/>
    <w:rsid w:val="046056FC"/>
    <w:rsid w:val="05E97167"/>
    <w:rsid w:val="063532A4"/>
    <w:rsid w:val="0E3B23D8"/>
    <w:rsid w:val="1BA619A4"/>
    <w:rsid w:val="22F15084"/>
    <w:rsid w:val="237100E4"/>
    <w:rsid w:val="24D35C9C"/>
    <w:rsid w:val="2644092E"/>
    <w:rsid w:val="2B4D4BCC"/>
    <w:rsid w:val="2D5B2AAC"/>
    <w:rsid w:val="2DEB5532"/>
    <w:rsid w:val="32416606"/>
    <w:rsid w:val="326A5F7E"/>
    <w:rsid w:val="35FBFC13"/>
    <w:rsid w:val="3F427B10"/>
    <w:rsid w:val="59DE653C"/>
    <w:rsid w:val="5C5D0211"/>
    <w:rsid w:val="5CAB386D"/>
    <w:rsid w:val="6B1E66FE"/>
    <w:rsid w:val="6E1E4978"/>
    <w:rsid w:val="764D1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link w:val="16"/>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8">
    <w:name w:val="Default Paragraph Font"/>
    <w:semiHidden/>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next w:val="1"/>
    <w:link w:val="15"/>
    <w:qFormat/>
    <w:uiPriority w:val="10"/>
    <w:pPr>
      <w:spacing w:before="240" w:after="60"/>
      <w:jc w:val="center"/>
      <w:outlineLvl w:val="0"/>
    </w:pPr>
    <w:rPr>
      <w:rFonts w:asciiTheme="majorHAnsi" w:hAnsiTheme="majorHAnsi" w:cstheme="majorBidi"/>
      <w:b/>
      <w:bCs/>
      <w:sz w:val="32"/>
      <w:szCs w:val="32"/>
    </w:rPr>
  </w:style>
  <w:style w:type="character" w:styleId="9">
    <w:name w:val="page number"/>
    <w:qFormat/>
    <w:uiPriority w:val="0"/>
  </w:style>
  <w:style w:type="character" w:customStyle="1" w:styleId="10">
    <w:name w:val="批注框文本 Char"/>
    <w:link w:val="3"/>
    <w:semiHidden/>
    <w:qFormat/>
    <w:uiPriority w:val="99"/>
    <w:rPr>
      <w:kern w:val="2"/>
      <w:sz w:val="18"/>
      <w:szCs w:val="18"/>
    </w:rPr>
  </w:style>
  <w:style w:type="character" w:customStyle="1" w:styleId="11">
    <w:name w:val="页脚 Char"/>
    <w:link w:val="4"/>
    <w:qFormat/>
    <w:uiPriority w:val="99"/>
    <w:rPr>
      <w:kern w:val="2"/>
      <w:sz w:val="18"/>
      <w:szCs w:val="18"/>
    </w:rPr>
  </w:style>
  <w:style w:type="character" w:customStyle="1" w:styleId="12">
    <w:name w:val="页眉 Char"/>
    <w:link w:val="5"/>
    <w:semiHidden/>
    <w:qFormat/>
    <w:uiPriority w:val="99"/>
    <w:rPr>
      <w:kern w:val="2"/>
      <w:sz w:val="18"/>
      <w:szCs w:val="18"/>
    </w:rPr>
  </w:style>
  <w:style w:type="paragraph" w:customStyle="1" w:styleId="13">
    <w:name w:val="列出段落1"/>
    <w:basedOn w:val="1"/>
    <w:qFormat/>
    <w:uiPriority w:val="34"/>
    <w:pPr>
      <w:ind w:firstLine="420" w:firstLineChars="200"/>
    </w:pPr>
    <w:rPr>
      <w:szCs w:val="22"/>
    </w:rPr>
  </w:style>
  <w:style w:type="paragraph" w:customStyle="1" w:styleId="14">
    <w:name w:val="Revision"/>
    <w:unhideWhenUsed/>
    <w:qFormat/>
    <w:uiPriority w:val="99"/>
    <w:rPr>
      <w:rFonts w:ascii="Calibri" w:hAnsi="Calibri" w:eastAsia="宋体" w:cs="Times New Roman"/>
      <w:kern w:val="2"/>
      <w:sz w:val="21"/>
      <w:szCs w:val="24"/>
      <w:lang w:val="en-US" w:eastAsia="zh-CN" w:bidi="ar-SA"/>
    </w:rPr>
  </w:style>
  <w:style w:type="character" w:customStyle="1" w:styleId="15">
    <w:name w:val="标题 Char"/>
    <w:basedOn w:val="8"/>
    <w:link w:val="6"/>
    <w:qFormat/>
    <w:uiPriority w:val="10"/>
    <w:rPr>
      <w:rFonts w:asciiTheme="majorHAnsi" w:hAnsiTheme="majorHAnsi" w:cstheme="majorBidi"/>
      <w:b/>
      <w:bCs/>
      <w:kern w:val="2"/>
      <w:sz w:val="32"/>
      <w:szCs w:val="32"/>
    </w:rPr>
  </w:style>
  <w:style w:type="character" w:customStyle="1" w:styleId="16">
    <w:name w:val="标题 3 Char"/>
    <w:basedOn w:val="8"/>
    <w:link w:val="2"/>
    <w:qFormat/>
    <w:uiPriority w:val="9"/>
    <w:rPr>
      <w:rFonts w:ascii="宋体" w:hAnsi="宋体" w:cs="宋体"/>
      <w:b/>
      <w:bCs/>
      <w:sz w:val="27"/>
      <w:szCs w:val="27"/>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859</Words>
  <Characters>1122</Characters>
  <Lines>8</Lines>
  <Paragraphs>2</Paragraphs>
  <TotalTime>9</TotalTime>
  <ScaleCrop>false</ScaleCrop>
  <LinksUpToDate>false</LinksUpToDate>
  <CharactersWithSpaces>1153</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2024-06-18T13:37:00Z</dcterms:created>
  <dc:creator>Legend User</dc:creator>
  <cp:lastModifiedBy>scjgj</cp:lastModifiedBy>
  <cp:lastPrinted>2021-01-27T15:10:00Z</cp:lastPrinted>
  <dcterms:modified xsi:type="dcterms:W3CDTF">2025-06-13T15:28:33Z</dcterms:modified>
  <dc:title>××产品质量监督抽查实施细则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7BDA8EC6E640482CAF9B5443795FAC82</vt:lpwstr>
  </property>
  <property fmtid="{D5CDD505-2E9C-101B-9397-08002B2CF9AE}" pid="4" name="KSOTemplateDocerSaveRecord">
    <vt:lpwstr>eyJoZGlkIjoiNzkyOWIyMzhiNDhmMTZjZGJlYzU1Y2U5NzcxNmQ4MzIiLCJ1c2VySWQiOiIxMjMxOTA0NDA0In0=</vt:lpwstr>
  </property>
</Properties>
</file>