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40" w:lineRule="exact"/>
        <w:jc w:val="center"/>
        <w:rPr>
          <w:rFonts w:hint="eastAsia" w:ascii="Times New Roman" w:hAnsi="Times New Roman" w:eastAsia="方正小标宋简体" w:cs="Times New Roman"/>
          <w:i w:val="0"/>
          <w:iCs w:val="0"/>
          <w:color w:val="auto"/>
          <w:sz w:val="32"/>
          <w:szCs w:val="32"/>
          <w:lang w:val="en-US" w:eastAsia="zh-CN"/>
        </w:rPr>
      </w:pPr>
      <w:bookmarkStart w:id="7" w:name="_GoBack"/>
      <w:r>
        <w:rPr>
          <w:rFonts w:hint="eastAsia" w:ascii="Times New Roman" w:hAnsi="Times New Roman" w:eastAsia="方正小标宋简体" w:cs="Times New Roman"/>
          <w:i w:val="0"/>
          <w:iCs w:val="0"/>
          <w:color w:val="auto"/>
          <w:sz w:val="32"/>
          <w:szCs w:val="32"/>
          <w:lang w:val="en-US" w:eastAsia="zh-CN"/>
        </w:rPr>
        <w:t>重庆市柔性泡沫橡塑绝热制品</w:t>
      </w:r>
      <w:bookmarkStart w:id="0" w:name="OLE_LINK7"/>
      <w:r>
        <w:rPr>
          <w:rFonts w:hint="eastAsia" w:ascii="Times New Roman" w:hAnsi="Times New Roman" w:eastAsia="方正小标宋简体" w:cs="Times New Roman"/>
          <w:i w:val="0"/>
          <w:iCs w:val="0"/>
          <w:color w:val="auto"/>
          <w:sz w:val="32"/>
          <w:szCs w:val="32"/>
          <w:lang w:val="en-US" w:eastAsia="zh-CN"/>
        </w:rPr>
        <w:t>产品质量监督抽查实施细则</w:t>
      </w:r>
    </w:p>
    <w:p>
      <w:pPr>
        <w:adjustRightInd w:val="0"/>
        <w:snapToGrid w:val="0"/>
        <w:spacing w:line="440" w:lineRule="exact"/>
        <w:jc w:val="center"/>
        <w:rPr>
          <w:rFonts w:hint="eastAsia" w:ascii="Times New Roman" w:hAnsi="Times New Roman" w:eastAsia="方正小标宋简体" w:cs="Times New Roman"/>
          <w:i w:val="0"/>
          <w:iCs w:val="0"/>
          <w:color w:val="auto"/>
          <w:sz w:val="32"/>
          <w:szCs w:val="32"/>
        </w:rPr>
      </w:pPr>
      <w:bookmarkStart w:id="1" w:name="OLE_LINK3"/>
      <w:r>
        <w:rPr>
          <w:rFonts w:hint="eastAsia" w:ascii="Times New Roman" w:hAnsi="Times New Roman" w:eastAsia="方正小标宋简体" w:cs="Times New Roman"/>
          <w:i w:val="0"/>
          <w:iCs w:val="0"/>
          <w:color w:val="auto"/>
          <w:sz w:val="32"/>
          <w:szCs w:val="32"/>
        </w:rPr>
        <w:t>（2025</w:t>
      </w:r>
      <w:r>
        <w:rPr>
          <w:rFonts w:hint="eastAsia" w:eastAsia="方正小标宋简体" w:cs="Times New Roman"/>
          <w:i w:val="0"/>
          <w:iCs w:val="0"/>
          <w:color w:val="auto"/>
          <w:sz w:val="32"/>
          <w:szCs w:val="32"/>
          <w:lang w:val="en-US" w:eastAsia="zh-CN"/>
        </w:rPr>
        <w:t>年</w:t>
      </w:r>
      <w:r>
        <w:rPr>
          <w:rFonts w:hint="eastAsia" w:ascii="Times New Roman" w:hAnsi="Times New Roman" w:eastAsia="方正小标宋简体" w:cs="Times New Roman"/>
          <w:i w:val="0"/>
          <w:iCs w:val="0"/>
          <w:color w:val="auto"/>
          <w:sz w:val="32"/>
          <w:szCs w:val="32"/>
          <w:lang w:val="en-US" w:eastAsia="zh-CN"/>
        </w:rPr>
        <w:t>版</w:t>
      </w:r>
      <w:r>
        <w:rPr>
          <w:rFonts w:hint="eastAsia" w:ascii="Times New Roman" w:hAnsi="Times New Roman" w:eastAsia="方正小标宋简体" w:cs="Times New Roman"/>
          <w:i w:val="0"/>
          <w:iCs w:val="0"/>
          <w:color w:val="auto"/>
          <w:sz w:val="32"/>
          <w:szCs w:val="32"/>
        </w:rPr>
        <w:t>）</w:t>
      </w:r>
      <w:bookmarkEnd w:id="1"/>
    </w:p>
    <w:bookmarkEnd w:id="0"/>
    <w:p>
      <w:pPr>
        <w:snapToGrid w:val="0"/>
        <w:spacing w:line="440" w:lineRule="exact"/>
        <w:rPr>
          <w:rFonts w:eastAsia="黑体"/>
          <w:color w:val="auto"/>
          <w:szCs w:val="21"/>
        </w:rPr>
      </w:pPr>
      <w:r>
        <w:rPr>
          <w:rFonts w:eastAsia="黑体"/>
          <w:color w:val="auto"/>
          <w:szCs w:val="21"/>
        </w:rPr>
        <w:t>1 抽样方法</w:t>
      </w:r>
    </w:p>
    <w:p>
      <w:pPr>
        <w:snapToGrid w:val="0"/>
        <w:spacing w:line="440" w:lineRule="exact"/>
        <w:ind w:firstLine="420" w:firstLineChars="200"/>
        <w:rPr>
          <w:rFonts w:hint="eastAsia"/>
          <w:color w:val="auto"/>
          <w:szCs w:val="21"/>
        </w:rPr>
      </w:pPr>
      <w:r>
        <w:rPr>
          <w:rFonts w:hint="eastAsia"/>
          <w:color w:val="auto"/>
          <w:szCs w:val="21"/>
        </w:rPr>
        <w:t>以随机抽样的方式在被抽样生产者、销售者的待销产品中抽取。</w:t>
      </w:r>
    </w:p>
    <w:p>
      <w:pPr>
        <w:snapToGrid w:val="0"/>
        <w:spacing w:line="440" w:lineRule="exact"/>
        <w:ind w:firstLine="420" w:firstLineChars="200"/>
        <w:rPr>
          <w:rFonts w:hint="eastAsia"/>
          <w:color w:val="auto"/>
          <w:szCs w:val="21"/>
        </w:rPr>
      </w:pPr>
      <w:r>
        <w:rPr>
          <w:rFonts w:hint="eastAsia"/>
          <w:color w:val="auto"/>
          <w:szCs w:val="21"/>
        </w:rPr>
        <w:t>随机数一般可使用随机数表等方法产生。</w:t>
      </w:r>
    </w:p>
    <w:p>
      <w:pPr>
        <w:snapToGrid w:val="0"/>
        <w:spacing w:line="440" w:lineRule="exact"/>
        <w:ind w:firstLine="420" w:firstLineChars="200"/>
        <w:rPr>
          <w:rFonts w:hint="eastAsia"/>
          <w:color w:val="auto"/>
          <w:szCs w:val="21"/>
          <w:highlight w:val="none"/>
        </w:rPr>
      </w:pPr>
      <w:r>
        <w:rPr>
          <w:rFonts w:hint="eastAsia"/>
          <w:color w:val="auto"/>
          <w:szCs w:val="21"/>
          <w:highlight w:val="none"/>
          <w:lang w:val="en-US" w:eastAsia="zh-CN"/>
        </w:rPr>
        <w:t>板状制品：</w:t>
      </w:r>
      <w:r>
        <w:rPr>
          <w:rFonts w:hint="eastAsia"/>
          <w:color w:val="auto"/>
          <w:szCs w:val="21"/>
          <w:highlight w:val="none"/>
        </w:rPr>
        <w:t>每批次产品抽</w:t>
      </w:r>
      <w:r>
        <w:rPr>
          <w:rFonts w:hint="eastAsia"/>
          <w:color w:val="auto"/>
          <w:szCs w:val="21"/>
          <w:highlight w:val="none"/>
        </w:rPr>
        <w:t>取样品</w:t>
      </w:r>
      <w:r>
        <w:rPr>
          <w:rFonts w:hint="eastAsia"/>
          <w:color w:val="auto"/>
          <w:szCs w:val="21"/>
          <w:highlight w:val="none"/>
          <w:lang w:val="en-US" w:eastAsia="zh-CN"/>
        </w:rPr>
        <w:t>不少于20</w:t>
      </w:r>
      <w:r>
        <w:rPr>
          <w:color w:val="auto"/>
          <w:szCs w:val="21"/>
          <w:highlight w:val="none"/>
        </w:rPr>
        <w:t>m</w:t>
      </w:r>
      <w:r>
        <w:rPr>
          <w:color w:val="auto"/>
          <w:szCs w:val="21"/>
          <w:highlight w:val="none"/>
          <w:vertAlign w:val="superscript"/>
        </w:rPr>
        <w:t>2</w:t>
      </w:r>
      <w:r>
        <w:rPr>
          <w:rFonts w:hint="eastAsia"/>
          <w:color w:val="auto"/>
          <w:szCs w:val="21"/>
          <w:highlight w:val="none"/>
          <w:lang w:val="en-US" w:eastAsia="zh-CN"/>
        </w:rPr>
        <w:t>（至少包含2件完整的样品），</w:t>
      </w:r>
      <w:bookmarkStart w:id="2" w:name="OLE_LINK2"/>
      <w:r>
        <w:rPr>
          <w:rFonts w:hint="eastAsia"/>
          <w:color w:val="auto"/>
          <w:szCs w:val="21"/>
          <w:highlight w:val="none"/>
        </w:rPr>
        <w:t>其中</w:t>
      </w:r>
      <w:r>
        <w:rPr>
          <w:rFonts w:hint="eastAsia" w:ascii="Times New Roman" w:hAnsi="Times New Roman"/>
          <w:color w:val="auto"/>
          <w:szCs w:val="21"/>
          <w:lang w:val="en-US" w:eastAsia="zh-CN"/>
        </w:rPr>
        <w:t>至少</w:t>
      </w:r>
      <w:r>
        <w:rPr>
          <w:rFonts w:hint="eastAsia"/>
          <w:color w:val="auto"/>
          <w:szCs w:val="21"/>
          <w:highlight w:val="none"/>
          <w:lang w:val="en-US" w:eastAsia="zh-CN"/>
        </w:rPr>
        <w:t>10</w:t>
      </w:r>
      <w:r>
        <w:rPr>
          <w:color w:val="auto"/>
          <w:szCs w:val="21"/>
          <w:highlight w:val="none"/>
        </w:rPr>
        <w:t>m</w:t>
      </w:r>
      <w:r>
        <w:rPr>
          <w:color w:val="auto"/>
          <w:szCs w:val="21"/>
          <w:highlight w:val="none"/>
          <w:vertAlign w:val="superscript"/>
        </w:rPr>
        <w:t>2</w:t>
      </w:r>
      <w:r>
        <w:rPr>
          <w:rFonts w:hint="eastAsia"/>
          <w:color w:val="auto"/>
          <w:szCs w:val="21"/>
          <w:highlight w:val="none"/>
        </w:rPr>
        <w:t>作为检验样品，</w:t>
      </w:r>
      <w:r>
        <w:rPr>
          <w:rFonts w:hint="eastAsia"/>
          <w:color w:val="auto"/>
          <w:szCs w:val="21"/>
          <w:highlight w:val="none"/>
          <w:lang w:val="en-US" w:eastAsia="zh-CN"/>
        </w:rPr>
        <w:t>10</w:t>
      </w:r>
      <w:r>
        <w:rPr>
          <w:color w:val="auto"/>
          <w:szCs w:val="21"/>
          <w:highlight w:val="none"/>
        </w:rPr>
        <w:t>m</w:t>
      </w:r>
      <w:r>
        <w:rPr>
          <w:color w:val="auto"/>
          <w:szCs w:val="21"/>
          <w:highlight w:val="none"/>
          <w:vertAlign w:val="superscript"/>
        </w:rPr>
        <w:t>2</w:t>
      </w:r>
      <w:r>
        <w:rPr>
          <w:rFonts w:hint="eastAsia"/>
          <w:color w:val="auto"/>
          <w:szCs w:val="21"/>
          <w:highlight w:val="none"/>
        </w:rPr>
        <w:t>作为备用样品。</w:t>
      </w:r>
    </w:p>
    <w:bookmarkEnd w:id="2"/>
    <w:p>
      <w:pPr>
        <w:widowControl w:val="0"/>
        <w:kinsoku/>
        <w:autoSpaceDE/>
        <w:autoSpaceDN/>
        <w:spacing w:line="440" w:lineRule="exact"/>
        <w:ind w:firstLine="420" w:firstLineChars="200"/>
        <w:jc w:val="both"/>
        <w:textAlignment w:val="auto"/>
        <w:rPr>
          <w:rFonts w:ascii="Times New Roman" w:hAnsi="Times New Roman" w:eastAsia="宋体" w:cs="Times New Roman"/>
          <w:snapToGrid/>
          <w:color w:val="auto"/>
          <w:kern w:val="2"/>
          <w:lang w:eastAsia="zh-CN"/>
        </w:rPr>
      </w:pPr>
      <w:r>
        <w:rPr>
          <w:rFonts w:hint="eastAsia" w:ascii="Times New Roman" w:hAnsi="Times New Roman" w:eastAsia="宋体" w:cs="Times New Roman"/>
          <w:snapToGrid/>
          <w:color w:val="auto"/>
          <w:kern w:val="2"/>
          <w:lang w:val="en-US" w:eastAsia="zh-CN"/>
        </w:rPr>
        <w:t>管状制品</w:t>
      </w:r>
      <w:r>
        <w:rPr>
          <w:rFonts w:ascii="Times New Roman" w:hAnsi="Times New Roman" w:eastAsia="宋体" w:cs="Times New Roman"/>
          <w:snapToGrid/>
          <w:color w:val="auto"/>
          <w:kern w:val="2"/>
          <w:lang w:eastAsia="zh-CN"/>
        </w:rPr>
        <w:t>：每批次产品抽取样品</w:t>
      </w:r>
      <w:bookmarkStart w:id="3" w:name="OLE_LINK4"/>
      <w:r>
        <w:rPr>
          <w:rFonts w:hint="eastAsia" w:ascii="Times New Roman" w:hAnsi="Times New Roman" w:eastAsia="宋体" w:cs="Times New Roman"/>
          <w:snapToGrid/>
          <w:color w:val="auto"/>
          <w:kern w:val="2"/>
          <w:lang w:val="en-US" w:eastAsia="zh-CN"/>
        </w:rPr>
        <w:t>20根原</w:t>
      </w:r>
      <w:r>
        <w:rPr>
          <w:rFonts w:ascii="Times New Roman" w:hAnsi="Times New Roman" w:eastAsia="宋体" w:cs="Times New Roman"/>
          <w:snapToGrid/>
          <w:color w:val="auto"/>
          <w:kern w:val="2"/>
          <w:lang w:eastAsia="zh-CN"/>
        </w:rPr>
        <w:t>长度+</w:t>
      </w:r>
      <w:r>
        <w:rPr>
          <w:rFonts w:hint="eastAsia" w:ascii="Times New Roman" w:hAnsi="Times New Roman" w:eastAsia="宋体" w:cs="Times New Roman"/>
          <w:snapToGrid/>
          <w:color w:val="auto"/>
          <w:kern w:val="2"/>
          <w:lang w:val="en-US" w:eastAsia="zh-CN"/>
        </w:rPr>
        <w:t>2</w:t>
      </w:r>
      <w:r>
        <w:rPr>
          <w:rFonts w:ascii="Times New Roman" w:hAnsi="Times New Roman" w:eastAsia="宋体" w:cs="Times New Roman"/>
          <w:snapToGrid/>
          <w:color w:val="auto"/>
          <w:kern w:val="2"/>
          <w:lang w:eastAsia="zh-CN"/>
        </w:rPr>
        <w:t>X米，</w:t>
      </w:r>
      <w:bookmarkEnd w:id="3"/>
      <w:r>
        <w:rPr>
          <w:rFonts w:ascii="Times New Roman" w:hAnsi="Times New Roman" w:eastAsia="宋体" w:cs="Times New Roman"/>
          <w:snapToGrid/>
          <w:color w:val="auto"/>
          <w:kern w:val="2"/>
          <w:lang w:eastAsia="zh-CN"/>
        </w:rPr>
        <w:t>其中</w:t>
      </w:r>
      <w:bookmarkStart w:id="4" w:name="OLE_LINK6"/>
      <w:r>
        <w:rPr>
          <w:rFonts w:hint="eastAsia" w:cs="Times New Roman"/>
          <w:snapToGrid/>
          <w:color w:val="auto"/>
          <w:kern w:val="2"/>
          <w:lang w:val="en-US" w:eastAsia="zh-CN"/>
        </w:rPr>
        <w:t>1</w:t>
      </w:r>
      <w:r>
        <w:rPr>
          <w:rFonts w:hint="eastAsia" w:ascii="Times New Roman" w:hAnsi="Times New Roman" w:eastAsia="宋体" w:cs="Times New Roman"/>
          <w:snapToGrid/>
          <w:color w:val="auto"/>
          <w:kern w:val="2"/>
          <w:lang w:val="en-US" w:eastAsia="zh-CN"/>
        </w:rPr>
        <w:t>0根原</w:t>
      </w:r>
      <w:r>
        <w:rPr>
          <w:rFonts w:ascii="Times New Roman" w:hAnsi="Times New Roman" w:eastAsia="宋体" w:cs="Times New Roman"/>
          <w:snapToGrid/>
          <w:color w:val="auto"/>
          <w:kern w:val="2"/>
          <w:lang w:eastAsia="zh-CN"/>
        </w:rPr>
        <w:t>长度+X米</w:t>
      </w:r>
      <w:bookmarkEnd w:id="4"/>
      <w:r>
        <w:rPr>
          <w:rFonts w:ascii="Times New Roman" w:hAnsi="Times New Roman" w:eastAsia="宋体" w:cs="Times New Roman"/>
          <w:snapToGrid/>
          <w:color w:val="auto"/>
          <w:kern w:val="2"/>
          <w:lang w:eastAsia="zh-CN"/>
        </w:rPr>
        <w:t>作为检验样品，</w:t>
      </w:r>
      <w:r>
        <w:rPr>
          <w:rFonts w:hint="eastAsia" w:cs="Times New Roman"/>
          <w:snapToGrid/>
          <w:color w:val="auto"/>
          <w:kern w:val="2"/>
          <w:lang w:val="en-US" w:eastAsia="zh-CN"/>
        </w:rPr>
        <w:t>1</w:t>
      </w:r>
      <w:r>
        <w:rPr>
          <w:rFonts w:hint="eastAsia" w:ascii="Times New Roman" w:hAnsi="Times New Roman" w:eastAsia="宋体" w:cs="Times New Roman"/>
          <w:snapToGrid/>
          <w:color w:val="auto"/>
          <w:kern w:val="2"/>
          <w:lang w:val="en-US" w:eastAsia="zh-CN"/>
        </w:rPr>
        <w:t>0根原</w:t>
      </w:r>
      <w:r>
        <w:rPr>
          <w:rFonts w:ascii="Times New Roman" w:hAnsi="Times New Roman" w:eastAsia="宋体" w:cs="Times New Roman"/>
          <w:snapToGrid/>
          <w:color w:val="auto"/>
          <w:kern w:val="2"/>
          <w:lang w:eastAsia="zh-CN"/>
        </w:rPr>
        <w:t>长度+X米作为备用样品。X 为</w:t>
      </w:r>
      <w:r>
        <w:rPr>
          <w:rFonts w:hint="eastAsia" w:ascii="Times New Roman" w:hAnsi="Times New Roman" w:eastAsia="宋体" w:cs="Times New Roman"/>
          <w:snapToGrid/>
          <w:color w:val="auto"/>
          <w:kern w:val="2"/>
          <w:lang w:val="en-US" w:eastAsia="zh-CN"/>
        </w:rPr>
        <w:t>燃烧性能</w:t>
      </w:r>
      <w:r>
        <w:rPr>
          <w:rFonts w:ascii="Times New Roman" w:hAnsi="Times New Roman" w:eastAsia="宋体" w:cs="Times New Roman"/>
          <w:snapToGrid/>
          <w:color w:val="auto"/>
          <w:kern w:val="2"/>
          <w:lang w:eastAsia="zh-CN"/>
        </w:rPr>
        <w:t>试验所需样品长度，计算公式如下：</w:t>
      </w:r>
    </w:p>
    <w:p>
      <w:pPr>
        <w:widowControl w:val="0"/>
        <w:kinsoku/>
        <w:autoSpaceDE/>
        <w:autoSpaceDN/>
        <w:adjustRightInd/>
        <w:snapToGrid/>
        <w:spacing w:line="440" w:lineRule="exact"/>
        <w:ind w:firstLine="420" w:firstLineChars="200"/>
        <w:jc w:val="both"/>
        <w:textAlignment w:val="auto"/>
        <w:rPr>
          <w:rFonts w:ascii="Times New Roman" w:hAnsi="Times New Roman" w:eastAsia="宋体" w:cs="Times New Roman"/>
          <w:snapToGrid/>
          <w:color w:val="auto"/>
          <w:kern w:val="2"/>
          <w:lang w:eastAsia="zh-CN"/>
        </w:rPr>
      </w:pPr>
      <w:r>
        <w:rPr>
          <w:rFonts w:ascii="Times New Roman" w:hAnsi="Times New Roman" w:eastAsia="宋体" w:cs="Times New Roman"/>
          <w:snapToGrid/>
          <w:color w:val="auto"/>
          <w:kern w:val="2"/>
          <w:lang w:eastAsia="zh-CN"/>
        </w:rPr>
        <w:t>X=[</w:t>
      </w:r>
      <w:r>
        <w:rPr>
          <w:rFonts w:hint="eastAsia" w:ascii="Times New Roman" w:hAnsi="Times New Roman" w:eastAsia="宋体" w:cs="Times New Roman"/>
          <w:snapToGrid/>
          <w:color w:val="auto"/>
          <w:kern w:val="2"/>
          <w:lang w:val="en-US" w:eastAsia="zh-CN"/>
        </w:rPr>
        <w:t>15</w:t>
      </w:r>
      <w:r>
        <w:rPr>
          <w:rFonts w:ascii="Times New Roman" w:hAnsi="Times New Roman" w:eastAsia="宋体" w:cs="Times New Roman"/>
          <w:snapToGrid/>
          <w:color w:val="auto"/>
          <w:kern w:val="2"/>
          <w:lang w:eastAsia="zh-CN"/>
        </w:rPr>
        <w:t>00/(D</w:t>
      </w:r>
      <w:r>
        <w:rPr>
          <w:rFonts w:hint="eastAsia" w:ascii="Times New Roman" w:hAnsi="Times New Roman" w:eastAsia="宋体" w:cs="Times New Roman"/>
          <w:snapToGrid/>
          <w:color w:val="auto"/>
          <w:kern w:val="2"/>
          <w:vertAlign w:val="baseline"/>
          <w:lang w:val="en-US" w:eastAsia="zh-CN"/>
        </w:rPr>
        <w:t>+25</w:t>
      </w:r>
      <w:r>
        <w:rPr>
          <w:rFonts w:ascii="Times New Roman" w:hAnsi="Times New Roman" w:eastAsia="宋体" w:cs="Times New Roman"/>
          <w:snapToGrid/>
          <w:color w:val="auto"/>
          <w:kern w:val="2"/>
          <w:lang w:eastAsia="zh-CN"/>
        </w:rPr>
        <w:t>)</w:t>
      </w:r>
      <w:r>
        <w:rPr>
          <w:rFonts w:hint="eastAsia" w:ascii="Times New Roman" w:hAnsi="Times New Roman" w:eastAsia="宋体" w:cs="Times New Roman"/>
          <w:snapToGrid/>
          <w:color w:val="auto"/>
          <w:kern w:val="2"/>
          <w:lang w:val="en-US" w:eastAsia="zh-CN"/>
        </w:rPr>
        <w:t xml:space="preserve"> 向上</w:t>
      </w:r>
      <w:r>
        <w:rPr>
          <w:rFonts w:ascii="Times New Roman" w:hAnsi="Times New Roman" w:eastAsia="宋体" w:cs="Times New Roman"/>
          <w:snapToGrid/>
          <w:color w:val="auto"/>
          <w:kern w:val="2"/>
          <w:lang w:eastAsia="zh-CN"/>
        </w:rPr>
        <w:t>取整]×</w:t>
      </w:r>
      <w:r>
        <w:rPr>
          <w:rFonts w:hint="eastAsia" w:ascii="Times New Roman" w:hAnsi="Times New Roman" w:eastAsia="宋体" w:cs="Times New Roman"/>
          <w:snapToGrid/>
          <w:color w:val="auto"/>
          <w:kern w:val="2"/>
          <w:lang w:val="en-US" w:eastAsia="zh-CN"/>
        </w:rPr>
        <w:t>4</w:t>
      </w:r>
      <w:r>
        <w:rPr>
          <w:rFonts w:ascii="Times New Roman" w:hAnsi="Times New Roman" w:eastAsia="宋体" w:cs="Times New Roman"/>
          <w:snapToGrid/>
          <w:color w:val="auto"/>
          <w:kern w:val="2"/>
          <w:lang w:eastAsia="zh-CN"/>
        </w:rPr>
        <w:t>.5米</w:t>
      </w:r>
      <w:r>
        <w:rPr>
          <w:rFonts w:hint="eastAsia" w:ascii="Times New Roman" w:hAnsi="Times New Roman" w:eastAsia="宋体" w:cs="Times New Roman"/>
          <w:snapToGrid/>
          <w:color w:val="auto"/>
          <w:kern w:val="2"/>
          <w:lang w:eastAsia="zh-CN"/>
        </w:rPr>
        <w:t>；</w:t>
      </w:r>
    </w:p>
    <w:p>
      <w:pPr>
        <w:widowControl w:val="0"/>
        <w:kinsoku/>
        <w:autoSpaceDE/>
        <w:autoSpaceDN/>
        <w:spacing w:line="440" w:lineRule="exact"/>
        <w:ind w:firstLine="420" w:firstLineChars="200"/>
        <w:jc w:val="both"/>
        <w:textAlignment w:val="auto"/>
        <w:rPr>
          <w:rFonts w:ascii="Times New Roman" w:hAnsi="Times New Roman" w:eastAsia="宋体" w:cs="Times New Roman"/>
          <w:snapToGrid/>
          <w:color w:val="auto"/>
          <w:kern w:val="2"/>
          <w:lang w:eastAsia="zh-CN"/>
        </w:rPr>
      </w:pPr>
      <w:r>
        <w:rPr>
          <w:rFonts w:ascii="Times New Roman" w:hAnsi="Times New Roman" w:eastAsia="宋体" w:cs="Times New Roman"/>
          <w:snapToGrid/>
          <w:color w:val="auto"/>
          <w:kern w:val="2"/>
          <w:lang w:eastAsia="zh-CN"/>
        </w:rPr>
        <w:t>以上计算公式中，D 为</w:t>
      </w:r>
      <w:r>
        <w:rPr>
          <w:rFonts w:hint="eastAsia" w:ascii="Times New Roman" w:hAnsi="Times New Roman" w:eastAsia="宋体" w:cs="Times New Roman"/>
          <w:snapToGrid/>
          <w:color w:val="auto"/>
          <w:kern w:val="2"/>
          <w:lang w:val="en-US" w:eastAsia="zh-CN"/>
        </w:rPr>
        <w:t>管材</w:t>
      </w:r>
      <w:r>
        <w:rPr>
          <w:rFonts w:ascii="Times New Roman" w:hAnsi="Times New Roman" w:eastAsia="宋体" w:cs="Times New Roman"/>
          <w:snapToGrid/>
          <w:color w:val="auto"/>
          <w:kern w:val="2"/>
          <w:lang w:eastAsia="zh-CN"/>
        </w:rPr>
        <w:t>外径，单位为毫米（mm）。</w:t>
      </w:r>
    </w:p>
    <w:p>
      <w:pPr>
        <w:snapToGrid w:val="0"/>
        <w:spacing w:line="440" w:lineRule="exact"/>
        <w:ind w:firstLine="420" w:firstLineChars="200"/>
        <w:rPr>
          <w:color w:val="auto"/>
          <w:szCs w:val="21"/>
        </w:rPr>
      </w:pPr>
    </w:p>
    <w:p>
      <w:pPr>
        <w:snapToGrid w:val="0"/>
        <w:spacing w:line="440" w:lineRule="exact"/>
        <w:rPr>
          <w:rFonts w:eastAsia="黑体"/>
          <w:color w:val="auto"/>
          <w:szCs w:val="21"/>
        </w:rPr>
      </w:pPr>
      <w:r>
        <w:rPr>
          <w:rFonts w:eastAsia="黑体"/>
          <w:color w:val="auto"/>
          <w:szCs w:val="21"/>
        </w:rPr>
        <w:t>2 检验依据</w:t>
      </w:r>
    </w:p>
    <w:p>
      <w:pPr>
        <w:snapToGrid w:val="0"/>
        <w:spacing w:line="440" w:lineRule="exact"/>
        <w:rPr>
          <w:rFonts w:eastAsia="黑体"/>
          <w:color w:val="auto"/>
          <w:szCs w:val="21"/>
        </w:rPr>
      </w:pPr>
    </w:p>
    <w:tbl>
      <w:tblPr>
        <w:tblStyle w:val="9"/>
        <w:tblW w:w="9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3"/>
        <w:gridCol w:w="4988"/>
        <w:gridCol w:w="3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pPr>
              <w:jc w:val="center"/>
              <w:rPr>
                <w:color w:val="auto"/>
                <w:szCs w:val="21"/>
              </w:rPr>
            </w:pPr>
            <w:r>
              <w:rPr>
                <w:color w:val="auto"/>
                <w:szCs w:val="21"/>
              </w:rPr>
              <w:t>序号</w:t>
            </w:r>
          </w:p>
        </w:tc>
        <w:tc>
          <w:tcPr>
            <w:tcW w:w="4988" w:type="dxa"/>
            <w:vAlign w:val="center"/>
          </w:tcPr>
          <w:p>
            <w:pPr>
              <w:jc w:val="center"/>
              <w:rPr>
                <w:color w:val="auto"/>
                <w:szCs w:val="21"/>
              </w:rPr>
            </w:pPr>
            <w:r>
              <w:rPr>
                <w:color w:val="auto"/>
                <w:szCs w:val="21"/>
              </w:rPr>
              <w:t>检验项目</w:t>
            </w:r>
          </w:p>
        </w:tc>
        <w:tc>
          <w:tcPr>
            <w:tcW w:w="3493" w:type="dxa"/>
            <w:vAlign w:val="center"/>
          </w:tcPr>
          <w:p>
            <w:pPr>
              <w:jc w:val="center"/>
              <w:rPr>
                <w:color w:val="auto"/>
                <w:szCs w:val="21"/>
              </w:rPr>
            </w:pPr>
            <w:r>
              <w:rPr>
                <w:color w:val="auto"/>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pPr>
              <w:jc w:val="center"/>
              <w:rPr>
                <w:rFonts w:hint="eastAsia" w:eastAsia="宋体"/>
                <w:color w:val="auto"/>
                <w:szCs w:val="21"/>
                <w:lang w:val="en-US" w:eastAsia="zh-CN"/>
              </w:rPr>
            </w:pPr>
            <w:r>
              <w:rPr>
                <w:rFonts w:hint="eastAsia"/>
                <w:color w:val="auto"/>
                <w:szCs w:val="21"/>
                <w:lang w:val="en-US" w:eastAsia="zh-CN"/>
              </w:rPr>
              <w:t>1</w:t>
            </w:r>
          </w:p>
        </w:tc>
        <w:tc>
          <w:tcPr>
            <w:tcW w:w="4988" w:type="dxa"/>
            <w:vAlign w:val="center"/>
          </w:tcPr>
          <w:p>
            <w:pPr>
              <w:jc w:val="center"/>
              <w:rPr>
                <w:rFonts w:hint="eastAsia"/>
                <w:color w:val="auto"/>
                <w:szCs w:val="21"/>
              </w:rPr>
            </w:pPr>
            <w:r>
              <w:rPr>
                <w:rFonts w:hint="default"/>
                <w:color w:val="auto"/>
                <w:szCs w:val="21"/>
                <w:lang w:val="en-US" w:eastAsia="zh-CN"/>
              </w:rPr>
              <w:t>导热系数</w:t>
            </w:r>
            <w:r>
              <w:rPr>
                <w:rFonts w:hint="eastAsia"/>
                <w:color w:val="auto"/>
                <w:szCs w:val="21"/>
                <w:lang w:val="en-US" w:eastAsia="zh-CN"/>
              </w:rPr>
              <w:t>[</w:t>
            </w:r>
            <w:r>
              <w:rPr>
                <w:rFonts w:hint="eastAsia" w:ascii="宋体" w:hAnsi="宋体"/>
                <w:color w:val="auto"/>
                <w:szCs w:val="21"/>
              </w:rPr>
              <w:t>平均温度(25</w:t>
            </w:r>
            <w:r>
              <w:rPr>
                <w:rFonts w:hint="eastAsia" w:ascii="宋体" w:hAnsi="宋体"/>
                <w:color w:val="auto"/>
                <w:szCs w:val="21"/>
                <w:lang w:val="en-US" w:eastAsia="zh-CN"/>
              </w:rPr>
              <w:t>±</w:t>
            </w:r>
            <w:r>
              <w:rPr>
                <w:rFonts w:hint="eastAsia" w:ascii="宋体" w:hAnsi="宋体"/>
                <w:color w:val="auto"/>
                <w:szCs w:val="21"/>
              </w:rPr>
              <w:t>2)℃</w:t>
            </w:r>
            <w:r>
              <w:rPr>
                <w:rFonts w:hint="eastAsia"/>
                <w:color w:val="auto"/>
                <w:szCs w:val="21"/>
                <w:lang w:val="en-US" w:eastAsia="zh-CN"/>
              </w:rPr>
              <w:t>）]</w:t>
            </w:r>
            <w:r>
              <w:rPr>
                <w:rFonts w:hint="eastAsia" w:ascii="宋体" w:hAnsi="宋体"/>
                <w:color w:val="auto"/>
                <w:szCs w:val="21"/>
              </w:rPr>
              <w:t>*</w:t>
            </w:r>
          </w:p>
        </w:tc>
        <w:tc>
          <w:tcPr>
            <w:tcW w:w="3493" w:type="dxa"/>
            <w:vAlign w:val="center"/>
          </w:tcPr>
          <w:p>
            <w:pPr>
              <w:jc w:val="center"/>
              <w:rPr>
                <w:color w:val="auto"/>
                <w:szCs w:val="21"/>
              </w:rPr>
            </w:pPr>
            <w:r>
              <w:rPr>
                <w:rFonts w:hint="eastAsia"/>
                <w:color w:val="auto"/>
                <w:szCs w:val="21"/>
              </w:rPr>
              <w:t>GB/T 10294-2008</w:t>
            </w:r>
            <w:r>
              <w:rPr>
                <w:rFonts w:hint="eastAsia"/>
                <w:color w:val="auto"/>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pPr>
              <w:jc w:val="center"/>
              <w:rPr>
                <w:rFonts w:hint="eastAsia" w:eastAsia="宋体"/>
                <w:color w:val="auto"/>
                <w:szCs w:val="21"/>
                <w:lang w:val="en-US" w:eastAsia="zh-CN"/>
              </w:rPr>
            </w:pPr>
            <w:r>
              <w:rPr>
                <w:rFonts w:hint="eastAsia"/>
                <w:color w:val="auto"/>
                <w:szCs w:val="21"/>
                <w:lang w:val="en-US" w:eastAsia="zh-CN"/>
              </w:rPr>
              <w:t>2</w:t>
            </w:r>
          </w:p>
        </w:tc>
        <w:tc>
          <w:tcPr>
            <w:tcW w:w="4988" w:type="dxa"/>
            <w:vAlign w:val="center"/>
          </w:tcPr>
          <w:p>
            <w:pPr>
              <w:jc w:val="center"/>
              <w:rPr>
                <w:rFonts w:hint="eastAsia"/>
                <w:color w:val="auto"/>
                <w:szCs w:val="21"/>
              </w:rPr>
            </w:pPr>
            <w:r>
              <w:rPr>
                <w:rFonts w:hint="default"/>
                <w:color w:val="auto"/>
                <w:szCs w:val="21"/>
                <w:lang w:val="en-US" w:eastAsia="zh-CN"/>
              </w:rPr>
              <w:t>表观密度</w:t>
            </w:r>
          </w:p>
        </w:tc>
        <w:tc>
          <w:tcPr>
            <w:tcW w:w="3493" w:type="dxa"/>
            <w:vAlign w:val="center"/>
          </w:tcPr>
          <w:p>
            <w:pPr>
              <w:jc w:val="center"/>
              <w:rPr>
                <w:color w:val="auto"/>
                <w:szCs w:val="21"/>
              </w:rPr>
            </w:pPr>
            <w:bookmarkStart w:id="5" w:name="OLE_LINK1"/>
            <w:r>
              <w:rPr>
                <w:rFonts w:hint="eastAsia"/>
                <w:color w:val="auto"/>
                <w:szCs w:val="21"/>
              </w:rPr>
              <w:t>G</w:t>
            </w:r>
            <w:bookmarkEnd w:id="5"/>
            <w:r>
              <w:rPr>
                <w:rFonts w:hint="eastAsia"/>
                <w:color w:val="auto"/>
                <w:szCs w:val="21"/>
              </w:rPr>
              <w:t>B/T 6343-2009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blHeader/>
          <w:jc w:val="center"/>
        </w:trPr>
        <w:tc>
          <w:tcPr>
            <w:tcW w:w="693" w:type="dxa"/>
            <w:vAlign w:val="center"/>
          </w:tcPr>
          <w:p>
            <w:pPr>
              <w:jc w:val="center"/>
              <w:rPr>
                <w:rFonts w:hint="eastAsia" w:eastAsia="宋体"/>
                <w:color w:val="auto"/>
                <w:szCs w:val="21"/>
                <w:lang w:val="en-US" w:eastAsia="zh-CN"/>
              </w:rPr>
            </w:pPr>
            <w:r>
              <w:rPr>
                <w:rFonts w:hint="eastAsia"/>
                <w:color w:val="auto"/>
                <w:szCs w:val="21"/>
                <w:lang w:val="en-US" w:eastAsia="zh-CN"/>
              </w:rPr>
              <w:t>3</w:t>
            </w:r>
          </w:p>
        </w:tc>
        <w:tc>
          <w:tcPr>
            <w:tcW w:w="4988" w:type="dxa"/>
            <w:vAlign w:val="center"/>
          </w:tcPr>
          <w:p>
            <w:pPr>
              <w:jc w:val="center"/>
              <w:rPr>
                <w:rFonts w:hint="eastAsia"/>
                <w:color w:val="auto"/>
                <w:szCs w:val="21"/>
              </w:rPr>
            </w:pPr>
            <w:r>
              <w:rPr>
                <w:rFonts w:hint="eastAsia"/>
                <w:color w:val="auto"/>
                <w:szCs w:val="21"/>
                <w:lang w:val="en-US" w:eastAsia="zh-CN"/>
              </w:rPr>
              <w:t>规格</w:t>
            </w:r>
            <w:r>
              <w:rPr>
                <w:rFonts w:hint="default"/>
                <w:color w:val="auto"/>
                <w:szCs w:val="21"/>
                <w:lang w:val="en-US" w:eastAsia="zh-CN"/>
              </w:rPr>
              <w:t>尺寸</w:t>
            </w:r>
            <w:r>
              <w:rPr>
                <w:rFonts w:hint="eastAsia"/>
                <w:color w:val="auto"/>
                <w:szCs w:val="21"/>
                <w:lang w:val="en-US" w:eastAsia="zh-CN"/>
              </w:rPr>
              <w:t>和</w:t>
            </w:r>
            <w:r>
              <w:rPr>
                <w:rFonts w:hint="default"/>
                <w:color w:val="auto"/>
                <w:szCs w:val="21"/>
                <w:lang w:val="en-US" w:eastAsia="zh-CN"/>
              </w:rPr>
              <w:t>允许</w:t>
            </w:r>
            <w:r>
              <w:rPr>
                <w:rFonts w:hint="default"/>
                <w:color w:val="auto"/>
                <w:szCs w:val="21"/>
                <w:lang w:val="en-US" w:eastAsia="zh-CN"/>
              </w:rPr>
              <w:t>偏差</w:t>
            </w:r>
          </w:p>
        </w:tc>
        <w:tc>
          <w:tcPr>
            <w:tcW w:w="3493" w:type="dxa"/>
            <w:vAlign w:val="center"/>
          </w:tcPr>
          <w:p>
            <w:pPr>
              <w:jc w:val="center"/>
              <w:rPr>
                <w:rFonts w:hint="default" w:eastAsia="宋体"/>
                <w:color w:val="auto"/>
                <w:szCs w:val="21"/>
                <w:lang w:val="en-US" w:eastAsia="zh-CN"/>
              </w:rPr>
            </w:pPr>
            <w:r>
              <w:rPr>
                <w:rFonts w:hint="eastAsia"/>
                <w:color w:val="auto"/>
                <w:szCs w:val="21"/>
              </w:rPr>
              <w:t>G</w:t>
            </w:r>
            <w:r>
              <w:rPr>
                <w:rFonts w:hint="default" w:eastAsia="宋体"/>
                <w:color w:val="auto"/>
                <w:szCs w:val="21"/>
                <w:lang w:val="en-US" w:eastAsia="zh-CN"/>
              </w:rPr>
              <w:t>B/T 6342-1996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pPr>
              <w:jc w:val="center"/>
              <w:rPr>
                <w:rFonts w:hint="eastAsia" w:eastAsia="宋体"/>
                <w:color w:val="auto"/>
                <w:szCs w:val="21"/>
                <w:lang w:val="en-US" w:eastAsia="zh-CN"/>
              </w:rPr>
            </w:pPr>
            <w:r>
              <w:rPr>
                <w:rFonts w:hint="eastAsia"/>
                <w:color w:val="auto"/>
                <w:szCs w:val="21"/>
                <w:lang w:val="en-US" w:eastAsia="zh-CN"/>
              </w:rPr>
              <w:t>4</w:t>
            </w:r>
          </w:p>
        </w:tc>
        <w:tc>
          <w:tcPr>
            <w:tcW w:w="4988" w:type="dxa"/>
            <w:vAlign w:val="center"/>
          </w:tcPr>
          <w:p>
            <w:pPr>
              <w:jc w:val="center"/>
              <w:rPr>
                <w:rFonts w:hint="eastAsia"/>
                <w:color w:val="auto"/>
                <w:szCs w:val="21"/>
              </w:rPr>
            </w:pPr>
            <w:r>
              <w:rPr>
                <w:rFonts w:hint="eastAsia"/>
                <w:color w:val="auto"/>
                <w:szCs w:val="21"/>
                <w:lang w:val="en-US" w:eastAsia="zh-CN"/>
              </w:rPr>
              <w:t>耐温性能-</w:t>
            </w:r>
            <w:r>
              <w:rPr>
                <w:rFonts w:hint="default"/>
                <w:color w:val="auto"/>
                <w:szCs w:val="21"/>
                <w:lang w:val="en-US" w:eastAsia="zh-CN"/>
              </w:rPr>
              <w:t>尺寸变化率</w:t>
            </w:r>
          </w:p>
        </w:tc>
        <w:tc>
          <w:tcPr>
            <w:tcW w:w="3493" w:type="dxa"/>
            <w:vAlign w:val="center"/>
          </w:tcPr>
          <w:p>
            <w:pPr>
              <w:jc w:val="center"/>
              <w:rPr>
                <w:color w:val="auto"/>
                <w:szCs w:val="21"/>
              </w:rPr>
            </w:pPr>
            <w:r>
              <w:rPr>
                <w:rFonts w:hint="eastAsia"/>
                <w:color w:val="auto"/>
                <w:szCs w:val="21"/>
                <w:lang w:val="en-US" w:eastAsia="zh-CN"/>
              </w:rPr>
              <w:t>GB/T 8811-2008</w:t>
            </w:r>
            <w:r>
              <w:rPr>
                <w:rFonts w:hint="eastAsia"/>
                <w:color w:val="auto"/>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pPr>
              <w:jc w:val="center"/>
              <w:rPr>
                <w:rFonts w:hint="eastAsia" w:eastAsia="宋体"/>
                <w:color w:val="auto"/>
                <w:szCs w:val="21"/>
                <w:lang w:val="en-US" w:eastAsia="zh-CN"/>
              </w:rPr>
            </w:pPr>
            <w:r>
              <w:rPr>
                <w:rFonts w:hint="eastAsia"/>
                <w:color w:val="auto"/>
                <w:szCs w:val="21"/>
                <w:lang w:val="en-US" w:eastAsia="zh-CN"/>
              </w:rPr>
              <w:t>5</w:t>
            </w:r>
          </w:p>
        </w:tc>
        <w:tc>
          <w:tcPr>
            <w:tcW w:w="4988" w:type="dxa"/>
            <w:vAlign w:val="center"/>
          </w:tcPr>
          <w:p>
            <w:pPr>
              <w:jc w:val="center"/>
              <w:rPr>
                <w:rFonts w:hint="eastAsia"/>
                <w:color w:val="auto"/>
                <w:szCs w:val="21"/>
              </w:rPr>
            </w:pPr>
            <w:r>
              <w:rPr>
                <w:rFonts w:hint="default"/>
                <w:color w:val="auto"/>
                <w:szCs w:val="21"/>
                <w:lang w:val="en-US" w:eastAsia="zh-CN"/>
              </w:rPr>
              <w:t>燃烧性能</w:t>
            </w:r>
          </w:p>
        </w:tc>
        <w:tc>
          <w:tcPr>
            <w:tcW w:w="3493" w:type="dxa"/>
            <w:vAlign w:val="center"/>
          </w:tcPr>
          <w:p>
            <w:pPr>
              <w:jc w:val="center"/>
              <w:rPr>
                <w:rFonts w:hint="eastAsia"/>
                <w:color w:val="auto"/>
                <w:lang w:val="en-US" w:eastAsia="zh-CN"/>
              </w:rPr>
            </w:pPr>
            <w:r>
              <w:rPr>
                <w:rFonts w:hint="eastAsia"/>
                <w:color w:val="auto"/>
                <w:lang w:val="en-US" w:eastAsia="zh-CN"/>
              </w:rPr>
              <w:t>GB 8624-2012</w:t>
            </w:r>
          </w:p>
          <w:p>
            <w:pPr>
              <w:jc w:val="center"/>
              <w:rPr>
                <w:rFonts w:hint="eastAsia"/>
                <w:color w:val="auto"/>
                <w:lang w:val="en-US" w:eastAsia="zh-CN"/>
              </w:rPr>
            </w:pPr>
            <w:r>
              <w:rPr>
                <w:rFonts w:hint="eastAsia"/>
                <w:color w:val="auto"/>
                <w:lang w:val="en-US" w:eastAsia="zh-CN"/>
              </w:rPr>
              <w:t xml:space="preserve"> GB/T 8627-2007 </w:t>
            </w:r>
          </w:p>
          <w:p>
            <w:pPr>
              <w:pStyle w:val="2"/>
              <w:rPr>
                <w:color w:val="auto"/>
              </w:rPr>
            </w:pPr>
            <w:r>
              <w:rPr>
                <w:rFonts w:hint="eastAsia"/>
                <w:color w:val="auto"/>
              </w:rPr>
              <w:t>GB/T 2406.2-2009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174" w:type="dxa"/>
            <w:gridSpan w:val="3"/>
            <w:vAlign w:val="center"/>
          </w:tcPr>
          <w:p>
            <w:pPr>
              <w:pStyle w:val="2"/>
              <w:rPr>
                <w:rFonts w:hint="eastAsia"/>
                <w:color w:val="auto"/>
              </w:rPr>
            </w:pPr>
            <w:r>
              <w:rPr>
                <w:rFonts w:hint="eastAsia"/>
                <w:color w:val="auto"/>
                <w:kern w:val="0"/>
                <w:szCs w:val="21"/>
              </w:rPr>
              <w:t>注：带*项目为适用时的检验项目，</w:t>
            </w:r>
            <w:r>
              <w:rPr>
                <w:rFonts w:hint="eastAsia" w:ascii="宋体" w:hAnsi="宋体"/>
                <w:color w:val="auto"/>
                <w:szCs w:val="21"/>
              </w:rPr>
              <w:t>仅</w:t>
            </w:r>
            <w:r>
              <w:rPr>
                <w:rFonts w:hint="eastAsia" w:ascii="宋体" w:hAnsi="宋体"/>
                <w:color w:val="auto"/>
                <w:szCs w:val="21"/>
                <w:lang w:val="en-US" w:eastAsia="zh-CN"/>
              </w:rPr>
              <w:t>CY类做该项目</w:t>
            </w:r>
            <w:r>
              <w:rPr>
                <w:rFonts w:hint="eastAsia" w:ascii="宋体" w:hAnsi="宋体"/>
                <w:color w:val="auto"/>
                <w:szCs w:val="21"/>
              </w:rPr>
              <w:t>。</w:t>
            </w:r>
          </w:p>
        </w:tc>
      </w:tr>
    </w:tbl>
    <w:p>
      <w:pPr>
        <w:adjustRightInd w:val="0"/>
        <w:snapToGrid w:val="0"/>
        <w:spacing w:line="440" w:lineRule="exact"/>
        <w:ind w:firstLine="420" w:firstLineChars="200"/>
        <w:rPr>
          <w:color w:val="auto"/>
          <w:szCs w:val="21"/>
        </w:rPr>
      </w:pPr>
      <w:r>
        <w:rPr>
          <w:color w:val="auto"/>
          <w:szCs w:val="21"/>
        </w:rPr>
        <w:t>执行企业标准、团体标准、地方标准的产品，检验项目参照上述内容执行。</w:t>
      </w:r>
    </w:p>
    <w:p>
      <w:pPr>
        <w:snapToGrid w:val="0"/>
        <w:spacing w:line="440" w:lineRule="exact"/>
        <w:ind w:firstLine="359" w:firstLineChars="171"/>
        <w:rPr>
          <w:rFonts w:ascii="宋体" w:hAnsi="宋体"/>
          <w:color w:val="auto"/>
          <w:szCs w:val="21"/>
        </w:rPr>
      </w:pPr>
      <w:r>
        <w:rPr>
          <w:rFonts w:hint="eastAsia" w:ascii="宋体" w:hAnsi="宋体"/>
          <w:color w:val="auto"/>
          <w:szCs w:val="21"/>
        </w:rPr>
        <w:t>凡是注日期的文件，其随后所有的修改单（不包括勘误的内容）或修订版不适用于本细则。凡是不注日期的文件，其最新版本适用于本细则。</w:t>
      </w:r>
    </w:p>
    <w:p>
      <w:pPr>
        <w:adjustRightInd w:val="0"/>
        <w:snapToGrid w:val="0"/>
        <w:spacing w:line="440" w:lineRule="exact"/>
        <w:ind w:firstLine="420" w:firstLineChars="200"/>
        <w:rPr>
          <w:color w:val="auto"/>
          <w:szCs w:val="21"/>
        </w:rPr>
      </w:pPr>
    </w:p>
    <w:p>
      <w:pPr>
        <w:spacing w:before="156" w:beforeLines="50" w:line="440" w:lineRule="exact"/>
        <w:rPr>
          <w:rFonts w:eastAsia="黑体"/>
          <w:color w:val="auto"/>
          <w:szCs w:val="21"/>
        </w:rPr>
      </w:pPr>
      <w:r>
        <w:rPr>
          <w:rFonts w:eastAsia="黑体"/>
          <w:color w:val="auto"/>
          <w:szCs w:val="21"/>
        </w:rPr>
        <w:t>3 判定规则</w:t>
      </w:r>
    </w:p>
    <w:p>
      <w:pPr>
        <w:snapToGrid w:val="0"/>
        <w:spacing w:line="440" w:lineRule="exact"/>
        <w:rPr>
          <w:color w:val="auto"/>
          <w:szCs w:val="21"/>
        </w:rPr>
      </w:pPr>
      <w:r>
        <w:rPr>
          <w:color w:val="auto"/>
          <w:szCs w:val="21"/>
        </w:rPr>
        <w:t>3.1依据标准</w:t>
      </w:r>
    </w:p>
    <w:p>
      <w:pPr>
        <w:snapToGrid w:val="0"/>
        <w:spacing w:line="440" w:lineRule="exact"/>
        <w:ind w:firstLine="420" w:firstLineChars="200"/>
        <w:rPr>
          <w:rFonts w:hint="eastAsia"/>
          <w:color w:val="auto"/>
          <w:szCs w:val="21"/>
          <w:lang w:val="en-US" w:eastAsia="zh-CN"/>
        </w:rPr>
      </w:pPr>
      <w:r>
        <w:rPr>
          <w:rFonts w:hint="eastAsia"/>
          <w:color w:val="auto"/>
          <w:szCs w:val="21"/>
        </w:rPr>
        <w:t>GB/T 17794-2021</w:t>
      </w:r>
      <w:r>
        <w:rPr>
          <w:rFonts w:hint="eastAsia"/>
          <w:color w:val="auto"/>
          <w:szCs w:val="21"/>
          <w:lang w:val="en-US" w:eastAsia="zh-CN"/>
        </w:rPr>
        <w:t xml:space="preserve"> </w:t>
      </w:r>
      <w:r>
        <w:rPr>
          <w:rFonts w:hint="eastAsia"/>
          <w:color w:val="auto"/>
          <w:szCs w:val="21"/>
        </w:rPr>
        <w:t xml:space="preserve">柔性泡沫橡塑绝热制品 </w:t>
      </w:r>
    </w:p>
    <w:p>
      <w:pPr>
        <w:snapToGrid w:val="0"/>
        <w:spacing w:line="440" w:lineRule="exact"/>
        <w:ind w:firstLine="420" w:firstLineChars="200"/>
        <w:rPr>
          <w:color w:val="auto"/>
          <w:szCs w:val="21"/>
        </w:rPr>
      </w:pPr>
      <w:r>
        <w:rPr>
          <w:color w:val="auto"/>
          <w:szCs w:val="21"/>
        </w:rPr>
        <w:t>现行有效的企业标准、团体标准、地方标准及产品明示质量要求</w:t>
      </w:r>
    </w:p>
    <w:p>
      <w:pPr>
        <w:snapToGrid w:val="0"/>
        <w:spacing w:line="440" w:lineRule="exact"/>
        <w:rPr>
          <w:color w:val="auto"/>
          <w:szCs w:val="21"/>
        </w:rPr>
      </w:pPr>
      <w:r>
        <w:rPr>
          <w:color w:val="auto"/>
          <w:szCs w:val="21"/>
        </w:rPr>
        <w:t>3.2判定原则</w:t>
      </w:r>
    </w:p>
    <w:p>
      <w:pPr>
        <w:snapToGrid w:val="0"/>
        <w:spacing w:line="440" w:lineRule="exact"/>
        <w:ind w:firstLine="420" w:firstLineChars="200"/>
        <w:rPr>
          <w:rFonts w:ascii="宋体" w:hAnsi="宋体"/>
          <w:color w:val="auto"/>
          <w:szCs w:val="21"/>
        </w:rPr>
      </w:pPr>
      <w:bookmarkStart w:id="6" w:name="OLE_LINK5"/>
      <w:r>
        <w:rPr>
          <w:rFonts w:hint="eastAsia" w:ascii="宋体" w:hAnsi="宋体"/>
          <w:color w:val="auto"/>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rFonts w:ascii="宋体" w:hAnsi="宋体"/>
          <w:color w:val="auto"/>
          <w:szCs w:val="21"/>
        </w:rPr>
      </w:pPr>
      <w:r>
        <w:rPr>
          <w:rFonts w:hint="eastAsia" w:ascii="宋体" w:hAnsi="宋体"/>
          <w:color w:val="auto"/>
          <w:szCs w:val="21"/>
        </w:rPr>
        <w:t>若被检产品明示的质量要求高于本细则中检验项目依据的标准要求时，应按被检产品明示的质量要求判定。</w:t>
      </w:r>
    </w:p>
    <w:p>
      <w:pPr>
        <w:snapToGrid w:val="0"/>
        <w:spacing w:line="440" w:lineRule="exact"/>
        <w:ind w:firstLine="417" w:firstLineChars="199"/>
        <w:rPr>
          <w:rFonts w:hint="eastAsia" w:ascii="宋体" w:hAnsi="宋体"/>
          <w:color w:val="auto"/>
          <w:szCs w:val="21"/>
        </w:rPr>
      </w:pPr>
      <w:r>
        <w:rPr>
          <w:rFonts w:hint="eastAsia" w:ascii="宋体" w:hAnsi="宋体"/>
          <w:color w:val="auto"/>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auto"/>
          <w:szCs w:val="21"/>
        </w:rPr>
      </w:pPr>
      <w:r>
        <w:rPr>
          <w:rFonts w:hint="eastAsia" w:ascii="宋体" w:hAnsi="宋体"/>
          <w:color w:val="auto"/>
          <w:szCs w:val="21"/>
        </w:rPr>
        <w:t>若被检产品明示的质量要求低于或包含细则中检验项目依据的推荐性标准要求时，应以被检产品明示的质量要求判定。</w:t>
      </w:r>
    </w:p>
    <w:p>
      <w:pPr>
        <w:snapToGrid w:val="0"/>
        <w:spacing w:line="440" w:lineRule="exact"/>
        <w:ind w:firstLine="417" w:firstLineChars="199"/>
        <w:rPr>
          <w:rFonts w:ascii="宋体" w:hAnsi="宋体"/>
          <w:color w:val="auto"/>
          <w:szCs w:val="21"/>
        </w:rPr>
      </w:pPr>
      <w:r>
        <w:rPr>
          <w:rFonts w:hint="eastAsia" w:ascii="宋体" w:hAnsi="宋体"/>
          <w:color w:val="auto"/>
          <w:szCs w:val="21"/>
        </w:rPr>
        <w:t>若被检产品明示的质量要求缺少本细则中检验项目依据的强制性标准要求时，应按照强制性标准要求判定。</w:t>
      </w:r>
    </w:p>
    <w:bookmarkEnd w:id="6"/>
    <w:p>
      <w:pPr>
        <w:snapToGrid w:val="0"/>
        <w:spacing w:line="440" w:lineRule="exact"/>
        <w:ind w:firstLine="417" w:firstLineChars="199"/>
        <w:rPr>
          <w:rFonts w:hint="default" w:ascii="宋体" w:hAnsi="宋体"/>
          <w:color w:val="auto"/>
          <w:szCs w:val="21"/>
        </w:rPr>
      </w:pPr>
      <w:r>
        <w:rPr>
          <w:rFonts w:hint="default" w:ascii="宋体" w:hAnsi="宋体"/>
          <w:color w:val="auto"/>
          <w:szCs w:val="21"/>
        </w:rPr>
        <w:t>若被检产品明示的质量要求缺少本细则中检验项目依据的推荐性标准要求时，该项目不参与判定。</w:t>
      </w:r>
    </w:p>
    <w:p>
      <w:pPr>
        <w:snapToGrid w:val="0"/>
        <w:spacing w:line="440" w:lineRule="exact"/>
        <w:ind w:firstLine="417" w:firstLineChars="199"/>
        <w:rPr>
          <w:color w:val="auto"/>
          <w:szCs w:val="21"/>
        </w:rPr>
      </w:pPr>
    </w:p>
    <w:bookmarkEnd w:id="7"/>
    <w:sectPr>
      <w:headerReference r:id="rId3" w:type="default"/>
      <w:footerReference r:id="rId4" w:type="default"/>
      <w:footerReference r:id="rId5" w:type="even"/>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2010600030101010101"/>
    <w:charset w:val="80"/>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仿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pPr>
      <w:pStyle w:val="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Y2ZTIxMWU5OGIwY2U5MDI3ODdiMDM4ZDc3ZThlOTMifQ=="/>
  </w:docVars>
  <w:rsids>
    <w:rsidRoot w:val="00172A27"/>
    <w:rsid w:val="00012EEB"/>
    <w:rsid w:val="00030F98"/>
    <w:rsid w:val="0003286E"/>
    <w:rsid w:val="00051A44"/>
    <w:rsid w:val="00052092"/>
    <w:rsid w:val="00055C43"/>
    <w:rsid w:val="00063F78"/>
    <w:rsid w:val="000770C5"/>
    <w:rsid w:val="00081CBD"/>
    <w:rsid w:val="0008480D"/>
    <w:rsid w:val="0009216E"/>
    <w:rsid w:val="000976DE"/>
    <w:rsid w:val="000A0A61"/>
    <w:rsid w:val="000B7E87"/>
    <w:rsid w:val="000C27EF"/>
    <w:rsid w:val="000E2DE0"/>
    <w:rsid w:val="000F14E9"/>
    <w:rsid w:val="00125916"/>
    <w:rsid w:val="00133E98"/>
    <w:rsid w:val="001352E7"/>
    <w:rsid w:val="00145AE7"/>
    <w:rsid w:val="001565C3"/>
    <w:rsid w:val="00172A27"/>
    <w:rsid w:val="001809DD"/>
    <w:rsid w:val="00197642"/>
    <w:rsid w:val="001A51E1"/>
    <w:rsid w:val="001F3D40"/>
    <w:rsid w:val="00205BC7"/>
    <w:rsid w:val="00247E11"/>
    <w:rsid w:val="002501F8"/>
    <w:rsid w:val="00253624"/>
    <w:rsid w:val="002627EB"/>
    <w:rsid w:val="00273AE5"/>
    <w:rsid w:val="00275517"/>
    <w:rsid w:val="00292DAD"/>
    <w:rsid w:val="002A25C4"/>
    <w:rsid w:val="002D7F8A"/>
    <w:rsid w:val="002E0D1D"/>
    <w:rsid w:val="002E4610"/>
    <w:rsid w:val="00312D60"/>
    <w:rsid w:val="003203A3"/>
    <w:rsid w:val="00373484"/>
    <w:rsid w:val="003831DC"/>
    <w:rsid w:val="00392BF9"/>
    <w:rsid w:val="003B33A1"/>
    <w:rsid w:val="003B65A7"/>
    <w:rsid w:val="003C08F8"/>
    <w:rsid w:val="003C3479"/>
    <w:rsid w:val="003C388C"/>
    <w:rsid w:val="003C4EF1"/>
    <w:rsid w:val="003D62CE"/>
    <w:rsid w:val="003D6DF1"/>
    <w:rsid w:val="003E011E"/>
    <w:rsid w:val="003E61BF"/>
    <w:rsid w:val="003E6431"/>
    <w:rsid w:val="003F7F34"/>
    <w:rsid w:val="00400560"/>
    <w:rsid w:val="00445E86"/>
    <w:rsid w:val="0045059C"/>
    <w:rsid w:val="00460D8A"/>
    <w:rsid w:val="00467E74"/>
    <w:rsid w:val="00474E04"/>
    <w:rsid w:val="00483AC6"/>
    <w:rsid w:val="004A0936"/>
    <w:rsid w:val="004D0C5A"/>
    <w:rsid w:val="004D31EC"/>
    <w:rsid w:val="004E02D3"/>
    <w:rsid w:val="004E1396"/>
    <w:rsid w:val="004E7C02"/>
    <w:rsid w:val="004F261B"/>
    <w:rsid w:val="005328AC"/>
    <w:rsid w:val="00551B06"/>
    <w:rsid w:val="005623DE"/>
    <w:rsid w:val="00563EBC"/>
    <w:rsid w:val="005868F9"/>
    <w:rsid w:val="00586CB0"/>
    <w:rsid w:val="00593498"/>
    <w:rsid w:val="005A1399"/>
    <w:rsid w:val="005A34AC"/>
    <w:rsid w:val="005B5C73"/>
    <w:rsid w:val="005B64D3"/>
    <w:rsid w:val="005D0F42"/>
    <w:rsid w:val="005F4CC6"/>
    <w:rsid w:val="00634C4F"/>
    <w:rsid w:val="006440C7"/>
    <w:rsid w:val="00661CE9"/>
    <w:rsid w:val="006734CA"/>
    <w:rsid w:val="00673C07"/>
    <w:rsid w:val="0068509C"/>
    <w:rsid w:val="006A3613"/>
    <w:rsid w:val="006A5215"/>
    <w:rsid w:val="006C7C2B"/>
    <w:rsid w:val="006F0971"/>
    <w:rsid w:val="0072334C"/>
    <w:rsid w:val="0074501E"/>
    <w:rsid w:val="007752EB"/>
    <w:rsid w:val="007761A5"/>
    <w:rsid w:val="00786F2C"/>
    <w:rsid w:val="007A5C0E"/>
    <w:rsid w:val="007B75EE"/>
    <w:rsid w:val="007C3667"/>
    <w:rsid w:val="007F583F"/>
    <w:rsid w:val="008139C8"/>
    <w:rsid w:val="008166B9"/>
    <w:rsid w:val="008200E6"/>
    <w:rsid w:val="0082012D"/>
    <w:rsid w:val="0084012D"/>
    <w:rsid w:val="0086159D"/>
    <w:rsid w:val="0087041A"/>
    <w:rsid w:val="00871617"/>
    <w:rsid w:val="008726BF"/>
    <w:rsid w:val="00895BEA"/>
    <w:rsid w:val="008A3497"/>
    <w:rsid w:val="008A61A4"/>
    <w:rsid w:val="008B1BD3"/>
    <w:rsid w:val="008C50E2"/>
    <w:rsid w:val="008E39B1"/>
    <w:rsid w:val="008F6434"/>
    <w:rsid w:val="00916926"/>
    <w:rsid w:val="00916BE5"/>
    <w:rsid w:val="00917A54"/>
    <w:rsid w:val="00920DA2"/>
    <w:rsid w:val="00926C29"/>
    <w:rsid w:val="00930572"/>
    <w:rsid w:val="00936B2A"/>
    <w:rsid w:val="00944A63"/>
    <w:rsid w:val="00957D96"/>
    <w:rsid w:val="00967C26"/>
    <w:rsid w:val="009865FB"/>
    <w:rsid w:val="009C6AE2"/>
    <w:rsid w:val="009E01DE"/>
    <w:rsid w:val="009F7375"/>
    <w:rsid w:val="00A1287B"/>
    <w:rsid w:val="00A25C52"/>
    <w:rsid w:val="00A26C6B"/>
    <w:rsid w:val="00A371F4"/>
    <w:rsid w:val="00A42847"/>
    <w:rsid w:val="00A43553"/>
    <w:rsid w:val="00A62E74"/>
    <w:rsid w:val="00A760C9"/>
    <w:rsid w:val="00A76D9F"/>
    <w:rsid w:val="00A80009"/>
    <w:rsid w:val="00A83893"/>
    <w:rsid w:val="00A902CC"/>
    <w:rsid w:val="00AA128C"/>
    <w:rsid w:val="00B3329E"/>
    <w:rsid w:val="00B5743B"/>
    <w:rsid w:val="00BA20EF"/>
    <w:rsid w:val="00BB6067"/>
    <w:rsid w:val="00BC52DB"/>
    <w:rsid w:val="00BF24FC"/>
    <w:rsid w:val="00BF5D64"/>
    <w:rsid w:val="00BF76DB"/>
    <w:rsid w:val="00C26074"/>
    <w:rsid w:val="00C34757"/>
    <w:rsid w:val="00C44CD6"/>
    <w:rsid w:val="00C626EC"/>
    <w:rsid w:val="00C63F45"/>
    <w:rsid w:val="00C83B0A"/>
    <w:rsid w:val="00C924E8"/>
    <w:rsid w:val="00CB6FC9"/>
    <w:rsid w:val="00CC137A"/>
    <w:rsid w:val="00CC1547"/>
    <w:rsid w:val="00CC195A"/>
    <w:rsid w:val="00CD1ECA"/>
    <w:rsid w:val="00CD37A8"/>
    <w:rsid w:val="00CE1E0C"/>
    <w:rsid w:val="00CE277E"/>
    <w:rsid w:val="00D120FA"/>
    <w:rsid w:val="00D1237C"/>
    <w:rsid w:val="00D50D7D"/>
    <w:rsid w:val="00D56867"/>
    <w:rsid w:val="00D7436E"/>
    <w:rsid w:val="00D82AE9"/>
    <w:rsid w:val="00D915F1"/>
    <w:rsid w:val="00DE2075"/>
    <w:rsid w:val="00E02A7F"/>
    <w:rsid w:val="00E07880"/>
    <w:rsid w:val="00E53438"/>
    <w:rsid w:val="00E62B1F"/>
    <w:rsid w:val="00E82621"/>
    <w:rsid w:val="00E95A55"/>
    <w:rsid w:val="00EA3D96"/>
    <w:rsid w:val="00ED4450"/>
    <w:rsid w:val="00ED5419"/>
    <w:rsid w:val="00ED6985"/>
    <w:rsid w:val="00F1455F"/>
    <w:rsid w:val="00F16AAE"/>
    <w:rsid w:val="00F332B6"/>
    <w:rsid w:val="00F5372E"/>
    <w:rsid w:val="00F5395B"/>
    <w:rsid w:val="00F57D43"/>
    <w:rsid w:val="00F77C9A"/>
    <w:rsid w:val="00F86832"/>
    <w:rsid w:val="00FA47C4"/>
    <w:rsid w:val="00FA4CC5"/>
    <w:rsid w:val="00FB576C"/>
    <w:rsid w:val="00FD2AA6"/>
    <w:rsid w:val="00FE14EF"/>
    <w:rsid w:val="00FE7E8A"/>
    <w:rsid w:val="00FF5DCC"/>
    <w:rsid w:val="03D40F34"/>
    <w:rsid w:val="04C70D83"/>
    <w:rsid w:val="05F7672B"/>
    <w:rsid w:val="08D0257F"/>
    <w:rsid w:val="09234C9E"/>
    <w:rsid w:val="0BF3562B"/>
    <w:rsid w:val="0FD458FA"/>
    <w:rsid w:val="103F1504"/>
    <w:rsid w:val="11473DDB"/>
    <w:rsid w:val="16864F84"/>
    <w:rsid w:val="16AA5042"/>
    <w:rsid w:val="19251389"/>
    <w:rsid w:val="1A784B4A"/>
    <w:rsid w:val="1B9113EA"/>
    <w:rsid w:val="1E133B57"/>
    <w:rsid w:val="206C7B52"/>
    <w:rsid w:val="25772D5E"/>
    <w:rsid w:val="25FE0304"/>
    <w:rsid w:val="2ADE62B2"/>
    <w:rsid w:val="339E5202"/>
    <w:rsid w:val="394D1D72"/>
    <w:rsid w:val="3BC768BF"/>
    <w:rsid w:val="3C186DE5"/>
    <w:rsid w:val="3C832BC0"/>
    <w:rsid w:val="3E8E2096"/>
    <w:rsid w:val="48243314"/>
    <w:rsid w:val="4BA557F6"/>
    <w:rsid w:val="549E7BE5"/>
    <w:rsid w:val="575527A0"/>
    <w:rsid w:val="59E81116"/>
    <w:rsid w:val="5AE6572A"/>
    <w:rsid w:val="60155BF2"/>
    <w:rsid w:val="617E46E6"/>
    <w:rsid w:val="627836B5"/>
    <w:rsid w:val="629611FF"/>
    <w:rsid w:val="636B2161"/>
    <w:rsid w:val="665E1984"/>
    <w:rsid w:val="68D27DBF"/>
    <w:rsid w:val="6B5275DD"/>
    <w:rsid w:val="6FE07B46"/>
    <w:rsid w:val="72A44FA8"/>
    <w:rsid w:val="72C41CD9"/>
    <w:rsid w:val="75FB6071"/>
    <w:rsid w:val="7A1E5CAC"/>
    <w:rsid w:val="7AE820D9"/>
    <w:rsid w:val="7B0B018A"/>
    <w:rsid w:val="7C782283"/>
    <w:rsid w:val="7CAE06C1"/>
    <w:rsid w:val="7EDB396C"/>
    <w:rsid w:val="7EEB53F1"/>
    <w:rsid w:val="9BBB2F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spacing w:after="120" w:afterLines="0" w:afterAutospacing="0" w:line="240" w:lineRule="auto"/>
      <w:ind w:left="420" w:leftChars="200" w:firstLine="420" w:firstLineChars="200"/>
    </w:pPr>
    <w:rPr>
      <w:sz w:val="21"/>
    </w:rPr>
  </w:style>
  <w:style w:type="paragraph" w:styleId="3">
    <w:name w:val="Body Text Indent"/>
    <w:basedOn w:val="1"/>
    <w:qFormat/>
    <w:uiPriority w:val="0"/>
    <w:pPr>
      <w:spacing w:line="700" w:lineRule="exact"/>
      <w:ind w:left="960"/>
    </w:pPr>
    <w:rPr>
      <w:sz w:val="44"/>
    </w:rPr>
  </w:style>
  <w:style w:type="paragraph" w:styleId="5">
    <w:name w:val="annotation text"/>
    <w:basedOn w:val="1"/>
    <w:unhideWhenUsed/>
    <w:qFormat/>
    <w:uiPriority w:val="99"/>
    <w:pPr>
      <w:jc w:val="left"/>
    </w:pPr>
  </w:style>
  <w:style w:type="paragraph" w:styleId="6">
    <w:name w:val="Balloon Text"/>
    <w:basedOn w:val="1"/>
    <w:link w:val="14"/>
    <w:unhideWhenUsed/>
    <w:qFormat/>
    <w:uiPriority w:val="99"/>
    <w:rPr>
      <w:sz w:val="18"/>
      <w:szCs w:val="18"/>
    </w:rPr>
  </w:style>
  <w:style w:type="paragraph" w:styleId="7">
    <w:name w:val="footer"/>
    <w:basedOn w:val="1"/>
    <w:link w:val="13"/>
    <w:unhideWhenUsed/>
    <w:qFormat/>
    <w:uiPriority w:val="99"/>
    <w:pPr>
      <w:tabs>
        <w:tab w:val="center" w:pos="4153"/>
        <w:tab w:val="right" w:pos="8306"/>
      </w:tabs>
      <w:snapToGrid w:val="0"/>
      <w:jc w:val="left"/>
    </w:pPr>
    <w:rPr>
      <w:sz w:val="18"/>
      <w:szCs w:val="18"/>
    </w:rPr>
  </w:style>
  <w:style w:type="paragraph" w:styleId="8">
    <w:name w:val="header"/>
    <w:basedOn w:val="1"/>
    <w:link w:val="12"/>
    <w:unhideWhenUsed/>
    <w:qFormat/>
    <w:uiPriority w:val="0"/>
    <w:pPr>
      <w:pBdr>
        <w:bottom w:val="single" w:color="auto" w:sz="6" w:space="1"/>
      </w:pBdr>
      <w:tabs>
        <w:tab w:val="center" w:pos="4153"/>
        <w:tab w:val="right" w:pos="8306"/>
      </w:tabs>
      <w:snapToGrid w:val="0"/>
      <w:jc w:val="center"/>
    </w:pPr>
    <w:rPr>
      <w:sz w:val="18"/>
      <w:szCs w:val="18"/>
    </w:rPr>
  </w:style>
  <w:style w:type="character" w:styleId="11">
    <w:name w:val="page number"/>
    <w:basedOn w:val="10"/>
    <w:qFormat/>
    <w:uiPriority w:val="0"/>
  </w:style>
  <w:style w:type="character" w:customStyle="1" w:styleId="12">
    <w:name w:val="页眉 字符"/>
    <w:link w:val="8"/>
    <w:semiHidden/>
    <w:qFormat/>
    <w:uiPriority w:val="99"/>
    <w:rPr>
      <w:kern w:val="2"/>
      <w:sz w:val="18"/>
      <w:szCs w:val="18"/>
    </w:rPr>
  </w:style>
  <w:style w:type="character" w:customStyle="1" w:styleId="13">
    <w:name w:val="页脚 字符"/>
    <w:link w:val="7"/>
    <w:qFormat/>
    <w:uiPriority w:val="99"/>
    <w:rPr>
      <w:kern w:val="2"/>
      <w:sz w:val="18"/>
      <w:szCs w:val="18"/>
    </w:rPr>
  </w:style>
  <w:style w:type="character" w:customStyle="1" w:styleId="14">
    <w:name w:val="批注框文本 字符"/>
    <w:link w:val="6"/>
    <w:semiHidden/>
    <w:qFormat/>
    <w:uiPriority w:val="99"/>
    <w:rPr>
      <w:kern w:val="2"/>
      <w:sz w:val="18"/>
      <w:szCs w:val="18"/>
    </w:rPr>
  </w:style>
  <w:style w:type="paragraph" w:customStyle="1" w:styleId="15">
    <w:name w:val="修订1"/>
    <w:semiHidden/>
    <w:qFormat/>
    <w:uiPriority w:val="99"/>
    <w:rPr>
      <w:rFonts w:ascii="Times New Roman" w:hAnsi="Times New Roman" w:eastAsia="宋体" w:cs="Times New Roman"/>
      <w:kern w:val="2"/>
      <w:sz w:val="21"/>
      <w:szCs w:val="24"/>
      <w:lang w:val="en-US" w:eastAsia="zh-CN" w:bidi="ar-SA"/>
    </w:rPr>
  </w:style>
  <w:style w:type="paragraph" w:customStyle="1" w:styleId="16">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786</Words>
  <Characters>922</Characters>
  <Lines>12</Lines>
  <Paragraphs>3</Paragraphs>
  <TotalTime>1</TotalTime>
  <ScaleCrop>false</ScaleCrop>
  <LinksUpToDate>false</LinksUpToDate>
  <CharactersWithSpaces>942</CharactersWithSpaces>
  <Application>WPS Office_11.8.2.9695_F1E327BC-269C-435d-A152-05C5408002CA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2024-03-25T15:31:00Z</dcterms:created>
  <dc:creator>赛旺检测</dc:creator>
  <cp:lastModifiedBy>scjgj</cp:lastModifiedBy>
  <cp:lastPrinted>2019-12-26T14:50:00Z</cp:lastPrinted>
  <dcterms:modified xsi:type="dcterms:W3CDTF">2025-06-24T15:40:01Z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2052-11.8.2.9695</vt:lpwstr>
  </property>
  <property fmtid="{D5CDD505-2E9C-101B-9397-08002B2CF9AE}" pid="3" name="ICV">
    <vt:lpwstr>5D6440CACE2D44D5A2D116E2383102FF</vt:lpwstr>
  </property>
</Properties>
</file>