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重庆市智能手环产品质量监督抽查实施细则（202</w:t>
      </w:r>
      <w:bookmarkStart w:id="0" w:name="_GoBack"/>
      <w:r>
        <w:rPr>
          <w:rFonts w:hint="eastAsia" w:ascii="方正小标宋简体" w:hAnsi="仿宋" w:eastAsia="方正小标宋简体" w:cs="方正仿宋简体"/>
          <w:color w:val="000000"/>
          <w:sz w:val="32"/>
          <w:szCs w:val="32"/>
        </w:rPr>
        <w:t>5</w:t>
      </w:r>
      <w:bookmarkEnd w:id="0"/>
      <w:r>
        <w:rPr>
          <w:rFonts w:hint="eastAsia" w:ascii="方正小标宋简体" w:hAnsi="仿宋" w:eastAsia="方正小标宋简体" w:cs="方正仿宋简体"/>
          <w:color w:val="000000"/>
          <w:sz w:val="32"/>
          <w:szCs w:val="32"/>
        </w:rPr>
        <w:t>年）</w:t>
      </w:r>
    </w:p>
    <w:p>
      <w:pPr>
        <w:snapToGrid w:val="0"/>
        <w:spacing w:line="440" w:lineRule="exact"/>
        <w:rPr>
          <w:rFonts w:eastAsia="方正小标宋简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以随机抽样的方式在被抽样销售者的待销产品中抽取。</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pPr>
        <w:snapToGrid w:val="0"/>
        <w:spacing w:line="440" w:lineRule="exact"/>
        <w:ind w:firstLine="420" w:firstLineChars="200"/>
        <w:rPr>
          <w:rFonts w:ascii="宋体" w:hAnsi="宋体"/>
          <w:szCs w:val="21"/>
        </w:rPr>
      </w:pPr>
      <w:r>
        <w:rPr>
          <w:rFonts w:hint="eastAsia"/>
          <w:szCs w:val="21"/>
        </w:rPr>
        <w:t>每批次</w:t>
      </w:r>
      <w:r>
        <w:rPr>
          <w:rFonts w:hint="eastAsia" w:ascii="宋体" w:hAnsi="宋体"/>
          <w:szCs w:val="21"/>
        </w:rPr>
        <w:t>抽取样品3台，其中2台作为检验样品，1台作为备用样品。</w:t>
      </w:r>
    </w:p>
    <w:p>
      <w:pPr>
        <w:snapToGrid w:val="0"/>
        <w:spacing w:line="440" w:lineRule="exact"/>
        <w:ind w:firstLine="420" w:firstLineChars="200"/>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jc w:val="center"/>
        <w:rPr>
          <w:color w:val="000000"/>
          <w:szCs w:val="21"/>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4082"/>
        <w:gridCol w:w="4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blHeader/>
          <w:jc w:val="center"/>
        </w:trPr>
        <w:tc>
          <w:tcPr>
            <w:tcW w:w="831" w:type="dxa"/>
            <w:vMerge w:val="restart"/>
            <w:tcBorders>
              <w:top w:val="single" w:color="auto" w:sz="4" w:space="0"/>
              <w:left w:val="single" w:color="auto" w:sz="4" w:space="0"/>
              <w:right w:val="single" w:color="auto" w:sz="4" w:space="0"/>
            </w:tcBorders>
            <w:vAlign w:val="center"/>
          </w:tcPr>
          <w:p>
            <w:pPr>
              <w:spacing w:line="250" w:lineRule="exact"/>
              <w:jc w:val="center"/>
              <w:rPr>
                <w:rFonts w:ascii="宋体" w:hAnsi="宋体"/>
              </w:rPr>
            </w:pPr>
            <w:r>
              <w:rPr>
                <w:rFonts w:hint="eastAsia" w:ascii="宋体" w:hAnsi="宋体"/>
              </w:rPr>
              <w:t>序号</w:t>
            </w:r>
          </w:p>
        </w:tc>
        <w:tc>
          <w:tcPr>
            <w:tcW w:w="4082" w:type="dxa"/>
            <w:vMerge w:val="restart"/>
            <w:tcBorders>
              <w:left w:val="single" w:color="auto" w:sz="4" w:space="0"/>
            </w:tcBorders>
            <w:vAlign w:val="center"/>
          </w:tcPr>
          <w:p>
            <w:pPr>
              <w:spacing w:line="250" w:lineRule="exact"/>
              <w:jc w:val="center"/>
              <w:rPr>
                <w:rFonts w:ascii="宋体" w:hAnsi="宋体"/>
              </w:rPr>
            </w:pPr>
            <w:r>
              <w:rPr>
                <w:rFonts w:hint="eastAsia" w:ascii="宋体" w:hAnsi="宋体"/>
              </w:rPr>
              <w:t>检验项目</w:t>
            </w:r>
          </w:p>
        </w:tc>
        <w:tc>
          <w:tcPr>
            <w:tcW w:w="4082" w:type="dxa"/>
            <w:vMerge w:val="restart"/>
            <w:vAlign w:val="center"/>
          </w:tcPr>
          <w:p>
            <w:pPr>
              <w:spacing w:line="250" w:lineRule="exact"/>
              <w:jc w:val="center"/>
              <w:rPr>
                <w:rFonts w:ascii="宋体" w:hAnsi="宋体"/>
              </w:rPr>
            </w:pPr>
            <w:r>
              <w:rPr>
                <w:rFonts w:hint="eastAsia" w:ascii="宋体" w:hAnsi="宋体"/>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Merge w:val="continue"/>
            <w:tcBorders>
              <w:left w:val="single" w:color="auto" w:sz="4" w:space="0"/>
              <w:bottom w:val="single" w:color="auto" w:sz="4" w:space="0"/>
              <w:right w:val="single" w:color="auto" w:sz="4" w:space="0"/>
            </w:tcBorders>
            <w:vAlign w:val="center"/>
          </w:tcPr>
          <w:p>
            <w:pPr>
              <w:spacing w:line="250" w:lineRule="exact"/>
              <w:jc w:val="center"/>
              <w:rPr>
                <w:rFonts w:ascii="宋体" w:hAnsi="宋体"/>
              </w:rPr>
            </w:pPr>
          </w:p>
        </w:tc>
        <w:tc>
          <w:tcPr>
            <w:tcW w:w="4082" w:type="dxa"/>
            <w:vMerge w:val="continue"/>
            <w:tcBorders>
              <w:left w:val="single" w:color="auto" w:sz="4" w:space="0"/>
            </w:tcBorders>
            <w:vAlign w:val="center"/>
          </w:tcPr>
          <w:p>
            <w:pPr>
              <w:spacing w:line="250" w:lineRule="exact"/>
              <w:jc w:val="center"/>
              <w:rPr>
                <w:rFonts w:ascii="宋体" w:hAnsi="宋体"/>
              </w:rPr>
            </w:pPr>
          </w:p>
        </w:tc>
        <w:tc>
          <w:tcPr>
            <w:tcW w:w="4082" w:type="dxa"/>
            <w:vMerge w:val="continue"/>
            <w:vAlign w:val="center"/>
          </w:tcPr>
          <w:p>
            <w:pPr>
              <w:spacing w:line="25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1</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输入试验</w:t>
            </w:r>
          </w:p>
        </w:tc>
        <w:tc>
          <w:tcPr>
            <w:tcW w:w="4082" w:type="dxa"/>
            <w:vAlign w:val="center"/>
          </w:tcPr>
          <w:p>
            <w:pPr>
              <w:snapToGrid w:val="0"/>
              <w:spacing w:before="62" w:beforeLines="20" w:after="62" w:afterLines="20" w:line="240" w:lineRule="atLeast"/>
              <w:jc w:val="center"/>
              <w:rPr>
                <w:kern w:val="0"/>
                <w:szCs w:val="21"/>
              </w:rPr>
            </w:pPr>
            <w:r>
              <w:rPr>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2</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断开连接器后电容器的放电</w:t>
            </w:r>
          </w:p>
        </w:tc>
        <w:tc>
          <w:tcPr>
            <w:tcW w:w="4082" w:type="dxa"/>
            <w:vAlign w:val="center"/>
          </w:tcPr>
          <w:p>
            <w:pPr>
              <w:snapToGrid w:val="0"/>
              <w:spacing w:before="62" w:beforeLines="20" w:after="62" w:afterLines="20" w:line="240" w:lineRule="atLeast"/>
              <w:jc w:val="center"/>
              <w:rPr>
                <w:kern w:val="0"/>
                <w:szCs w:val="21"/>
              </w:rPr>
            </w:pPr>
            <w:r>
              <w:rPr>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3</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电能量源ES1和ES2的限值</w:t>
            </w:r>
          </w:p>
        </w:tc>
        <w:tc>
          <w:tcPr>
            <w:tcW w:w="4082" w:type="dxa"/>
            <w:vAlign w:val="center"/>
          </w:tcPr>
          <w:p>
            <w:pPr>
              <w:snapToGrid w:val="0"/>
              <w:spacing w:before="62" w:beforeLines="20" w:after="62" w:afterLines="20" w:line="240" w:lineRule="atLeast"/>
              <w:jc w:val="center"/>
              <w:rPr>
                <w:kern w:val="0"/>
                <w:szCs w:val="21"/>
              </w:rPr>
            </w:pPr>
            <w:r>
              <w:rPr>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4</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 xml:space="preserve">电能量源的可触及性和安全防护 </w:t>
            </w:r>
          </w:p>
        </w:tc>
        <w:tc>
          <w:tcPr>
            <w:tcW w:w="4082" w:type="dxa"/>
            <w:vAlign w:val="center"/>
          </w:tcPr>
          <w:p>
            <w:pPr>
              <w:snapToGrid w:val="0"/>
              <w:spacing w:before="62" w:beforeLines="20" w:after="62" w:afterLines="20" w:line="240" w:lineRule="atLeast"/>
              <w:jc w:val="center"/>
              <w:rPr>
                <w:kern w:val="0"/>
                <w:szCs w:val="21"/>
              </w:rPr>
            </w:pPr>
            <w:r>
              <w:rPr>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5</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有锐边锐角零部件的安全防护</w:t>
            </w:r>
          </w:p>
        </w:tc>
        <w:tc>
          <w:tcPr>
            <w:tcW w:w="4082" w:type="dxa"/>
            <w:vAlign w:val="center"/>
          </w:tcPr>
          <w:p>
            <w:pPr>
              <w:snapToGrid w:val="0"/>
              <w:spacing w:before="62" w:beforeLines="20" w:after="62" w:afterLines="20" w:line="240" w:lineRule="atLeast"/>
              <w:jc w:val="center"/>
              <w:rPr>
                <w:kern w:val="0"/>
                <w:szCs w:val="21"/>
              </w:rPr>
            </w:pPr>
            <w:r>
              <w:rPr>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6</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直接插入电网电源输出插座的设备</w:t>
            </w:r>
          </w:p>
        </w:tc>
        <w:tc>
          <w:tcPr>
            <w:tcW w:w="4082" w:type="dxa"/>
            <w:vAlign w:val="center"/>
          </w:tcPr>
          <w:p>
            <w:pPr>
              <w:snapToGrid w:val="0"/>
              <w:spacing w:before="62" w:beforeLines="20" w:after="62" w:afterLines="20" w:line="240" w:lineRule="atLeast"/>
              <w:jc w:val="center"/>
              <w:rPr>
                <w:kern w:val="0"/>
                <w:szCs w:val="21"/>
              </w:rPr>
            </w:pPr>
            <w:r>
              <w:rPr>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7</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接触温度限值</w:t>
            </w:r>
          </w:p>
        </w:tc>
        <w:tc>
          <w:tcPr>
            <w:tcW w:w="4082" w:type="dxa"/>
            <w:vAlign w:val="center"/>
          </w:tcPr>
          <w:p>
            <w:pPr>
              <w:snapToGrid w:val="0"/>
              <w:spacing w:before="62" w:beforeLines="20" w:after="62" w:afterLines="20" w:line="240" w:lineRule="atLeast"/>
              <w:jc w:val="center"/>
              <w:rPr>
                <w:kern w:val="0"/>
                <w:szCs w:val="21"/>
              </w:rPr>
            </w:pPr>
            <w:r>
              <w:rPr>
                <w:kern w:val="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8</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辐射骚扰（1GHz以下）</w:t>
            </w:r>
          </w:p>
        </w:tc>
        <w:tc>
          <w:tcPr>
            <w:tcW w:w="4082" w:type="dxa"/>
            <w:vAlign w:val="center"/>
          </w:tcPr>
          <w:p>
            <w:pPr>
              <w:widowControl/>
              <w:snapToGrid w:val="0"/>
              <w:spacing w:line="300" w:lineRule="exact"/>
              <w:jc w:val="center"/>
              <w:rPr>
                <w:kern w:val="0"/>
                <w:szCs w:val="21"/>
              </w:rPr>
            </w:pPr>
            <w:r>
              <w:rPr>
                <w:rFonts w:hint="eastAsia"/>
                <w:kern w:val="0"/>
                <w:szCs w:val="21"/>
              </w:rPr>
              <w:t>GB/T 9254—2008（含第1号修改单）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ascii="宋体" w:hAnsi="宋体"/>
                <w:szCs w:val="21"/>
              </w:rPr>
              <w:t>9</w:t>
            </w:r>
          </w:p>
        </w:tc>
        <w:tc>
          <w:tcPr>
            <w:tcW w:w="4082" w:type="dxa"/>
            <w:vAlign w:val="center"/>
          </w:tcPr>
          <w:p>
            <w:pPr>
              <w:widowControl/>
              <w:snapToGrid w:val="0"/>
              <w:jc w:val="center"/>
              <w:rPr>
                <w:kern w:val="0"/>
                <w:szCs w:val="21"/>
              </w:rPr>
            </w:pPr>
            <w:r>
              <w:rPr>
                <w:rFonts w:hint="eastAsia"/>
                <w:kern w:val="0"/>
                <w:szCs w:val="21"/>
              </w:rPr>
              <w:t>或1GHz以下辐射发射</w:t>
            </w:r>
          </w:p>
        </w:tc>
        <w:tc>
          <w:tcPr>
            <w:tcW w:w="4082" w:type="dxa"/>
            <w:vAlign w:val="center"/>
          </w:tcPr>
          <w:p>
            <w:pPr>
              <w:widowControl/>
              <w:snapToGrid w:val="0"/>
              <w:jc w:val="center"/>
              <w:rPr>
                <w:kern w:val="0"/>
                <w:szCs w:val="21"/>
              </w:rPr>
            </w:pPr>
            <w:r>
              <w:rPr>
                <w:kern w:val="0"/>
                <w:szCs w:val="21"/>
              </w:rPr>
              <w:t>GB/T 9254.1-2021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10</w:t>
            </w:r>
          </w:p>
        </w:tc>
        <w:tc>
          <w:tcPr>
            <w:tcW w:w="4082" w:type="dxa"/>
            <w:vAlign w:val="center"/>
          </w:tcPr>
          <w:p>
            <w:pPr>
              <w:widowControl/>
              <w:snapToGrid w:val="0"/>
              <w:jc w:val="center"/>
              <w:rPr>
                <w:kern w:val="0"/>
                <w:szCs w:val="21"/>
              </w:rPr>
            </w:pPr>
            <w:r>
              <w:rPr>
                <w:rFonts w:hint="eastAsia"/>
                <w:kern w:val="0"/>
                <w:szCs w:val="21"/>
              </w:rPr>
              <w:t>静电放电抗扰度</w:t>
            </w:r>
          </w:p>
        </w:tc>
        <w:tc>
          <w:tcPr>
            <w:tcW w:w="4082" w:type="dxa"/>
            <w:vAlign w:val="center"/>
          </w:tcPr>
          <w:p>
            <w:pPr>
              <w:widowControl/>
              <w:snapToGrid w:val="0"/>
              <w:spacing w:line="300" w:lineRule="exact"/>
              <w:jc w:val="center"/>
              <w:rPr>
                <w:kern w:val="0"/>
                <w:szCs w:val="21"/>
              </w:rPr>
            </w:pPr>
            <w:r>
              <w:rPr>
                <w:kern w:val="0"/>
                <w:szCs w:val="21"/>
              </w:rPr>
              <w:t xml:space="preserve">GB/T </w:t>
            </w:r>
            <w:r>
              <w:rPr>
                <w:rFonts w:hint="eastAsia"/>
                <w:kern w:val="0"/>
                <w:szCs w:val="21"/>
              </w:rPr>
              <w:t>17626.2</w:t>
            </w:r>
            <w:r>
              <w:rPr>
                <w:kern w:val="0"/>
                <w:szCs w:val="21"/>
              </w:rPr>
              <w:t>—20</w:t>
            </w:r>
            <w:r>
              <w:rPr>
                <w:rFonts w:hint="eastAsia"/>
                <w:kern w:val="0"/>
                <w:szCs w:val="21"/>
              </w:rPr>
              <w:t>1</w:t>
            </w:r>
            <w:r>
              <w:rPr>
                <w:kern w:val="0"/>
                <w:szCs w:val="21"/>
              </w:rPr>
              <w:t xml:space="preserve">8 </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360" w:lineRule="auto"/>
        <w:ind w:firstLine="420" w:firstLineChars="200"/>
        <w:rPr>
          <w:rFonts w:ascii="宋体" w:hAnsi="宋体"/>
          <w:color w:val="000000"/>
          <w:szCs w:val="21"/>
        </w:rPr>
      </w:pP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napToGrid w:val="0"/>
        <w:spacing w:line="440" w:lineRule="exact"/>
        <w:ind w:firstLine="420" w:firstLineChars="200"/>
        <w:rPr>
          <w:rFonts w:ascii="宋体" w:hAnsi="宋体"/>
          <w:szCs w:val="21"/>
        </w:rPr>
      </w:pPr>
      <w:r>
        <w:rPr>
          <w:rFonts w:hint="eastAsia" w:ascii="宋体" w:hAnsi="宋体"/>
          <w:szCs w:val="21"/>
        </w:rPr>
        <w:t>GB 4943.1—2022 音视频、信息技术和通信技术设备  第1部分：安全要求</w:t>
      </w:r>
    </w:p>
    <w:p>
      <w:pPr>
        <w:snapToGrid w:val="0"/>
        <w:spacing w:line="440" w:lineRule="exact"/>
        <w:ind w:firstLine="420" w:firstLineChars="200"/>
        <w:rPr>
          <w:rFonts w:ascii="宋体" w:hAnsi="宋体"/>
          <w:szCs w:val="21"/>
        </w:rPr>
      </w:pPr>
      <w:r>
        <w:rPr>
          <w:rFonts w:hint="eastAsia" w:ascii="宋体" w:hAnsi="宋体"/>
          <w:szCs w:val="21"/>
        </w:rPr>
        <w:t>GB/T 9254—2008 信息技术设备的无线电骚扰限值和测量方法（含第1号修改单）</w:t>
      </w:r>
    </w:p>
    <w:p>
      <w:pPr>
        <w:snapToGrid w:val="0"/>
        <w:spacing w:line="440" w:lineRule="exact"/>
        <w:ind w:firstLine="420" w:firstLineChars="200"/>
        <w:rPr>
          <w:rFonts w:ascii="宋体" w:hAnsi="宋体"/>
          <w:szCs w:val="21"/>
        </w:rPr>
      </w:pPr>
      <w:r>
        <w:rPr>
          <w:rFonts w:hint="eastAsia" w:ascii="宋体" w:hAnsi="宋体"/>
          <w:szCs w:val="21"/>
        </w:rPr>
        <w:t>GB/T 9254.1—2021 信息技术设备、多媒体设备和接收机 电磁兼容  第1部分：发射要求</w:t>
      </w:r>
    </w:p>
    <w:p>
      <w:pPr>
        <w:snapToGrid w:val="0"/>
        <w:spacing w:line="440" w:lineRule="exact"/>
        <w:ind w:firstLine="420" w:firstLineChars="200"/>
        <w:rPr>
          <w:rFonts w:ascii="宋体" w:hAnsi="宋体"/>
          <w:szCs w:val="21"/>
        </w:rPr>
      </w:pPr>
      <w:r>
        <w:rPr>
          <w:rFonts w:hint="eastAsia" w:ascii="宋体" w:hAnsi="宋体"/>
          <w:szCs w:val="21"/>
        </w:rPr>
        <w:t>GB/T 17626.2-2018 电磁兼容　试验和测量技术　静电放电抗扰度试验</w:t>
      </w:r>
    </w:p>
    <w:p>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简体">
    <w:altName w:val="方正仿宋_GBK"/>
    <w:panose1 w:val="00000000000000000000"/>
    <w:charset w:val="86"/>
    <w:family w:val="auto"/>
    <w:pitch w:val="default"/>
    <w:sig w:usb0="00000000" w:usb1="00000000" w:usb2="00000012" w:usb3="00000000" w:csb0="00040001" w:csb1="00000000"/>
  </w:font>
  <w:font w:name="Cambria">
    <w:altName w:val="Noto Sans Syriac Eastern"/>
    <w:panose1 w:val="02040503050406030204"/>
    <w:charset w:val="00"/>
    <w:family w:val="roman"/>
    <w:pitch w:val="default"/>
    <w:sig w:usb0="00000000" w:usb1="00000000" w:usb2="00000000" w:usb3="00000000" w:csb0="0000019F" w:csb1="00000000"/>
  </w:font>
  <w:font w:name="方正书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32"/>
        <w:szCs w:val="32"/>
      </w:rPr>
    </w:lvl>
    <w:lvl w:ilvl="1" w:tentative="0">
      <w:start w:val="1"/>
      <w:numFmt w:val="decimal"/>
      <w:pStyle w:val="11"/>
      <w:suff w:val="nothing"/>
      <w:lvlText w:val="%1%2　"/>
      <w:lvlJc w:val="left"/>
      <w:pPr>
        <w:ind w:left="0" w:firstLine="0"/>
      </w:pPr>
      <w:rPr>
        <w:rFonts w:hint="eastAsia" w:ascii="黑体" w:hAnsi="Times New Roman" w:eastAsia="黑体"/>
        <w:b w:val="0"/>
        <w:i w:val="0"/>
        <w:sz w:val="21"/>
      </w:rPr>
    </w:lvl>
    <w:lvl w:ilvl="2" w:tentative="0">
      <w:start w:val="1"/>
      <w:numFmt w:val="decimal"/>
      <w:pStyle w:val="10"/>
      <w:suff w:val="nothing"/>
      <w:lvlText w:val="%1%2.%3　"/>
      <w:lvlJc w:val="left"/>
      <w:pPr>
        <w:ind w:left="420" w:firstLine="0"/>
      </w:pPr>
    </w:lvl>
    <w:lvl w:ilvl="3" w:tentative="0">
      <w:start w:val="1"/>
      <w:numFmt w:val="decimal"/>
      <w:lvlRestart w:val="1"/>
      <w:suff w:val="nothing"/>
      <w:lvlText w:val="%1%2.%3.%4　"/>
      <w:lvlJc w:val="left"/>
      <w:pPr>
        <w:ind w:left="0" w:firstLine="0"/>
      </w:pPr>
      <w:rPr>
        <w:rFonts w:hint="eastAsia" w:ascii="黑体" w:hAnsi="Times New Roman" w:eastAsia="黑体"/>
        <w:b w:val="0"/>
        <w:i w:val="0"/>
        <w:color w:val="auto"/>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423C5385"/>
    <w:rsid w:val="00035389"/>
    <w:rsid w:val="00073706"/>
    <w:rsid w:val="000838A1"/>
    <w:rsid w:val="000C07E3"/>
    <w:rsid w:val="000C58FF"/>
    <w:rsid w:val="000D5936"/>
    <w:rsid w:val="000D6BCB"/>
    <w:rsid w:val="00111B3A"/>
    <w:rsid w:val="001155F6"/>
    <w:rsid w:val="001B17A8"/>
    <w:rsid w:val="001D7F68"/>
    <w:rsid w:val="001E3BBF"/>
    <w:rsid w:val="00216FBA"/>
    <w:rsid w:val="002E3A6A"/>
    <w:rsid w:val="003107C6"/>
    <w:rsid w:val="003217D6"/>
    <w:rsid w:val="003628CF"/>
    <w:rsid w:val="00363728"/>
    <w:rsid w:val="003726AE"/>
    <w:rsid w:val="003A4780"/>
    <w:rsid w:val="003B1C72"/>
    <w:rsid w:val="003C1BB0"/>
    <w:rsid w:val="003C6F7B"/>
    <w:rsid w:val="00400335"/>
    <w:rsid w:val="00481FBE"/>
    <w:rsid w:val="00483DCA"/>
    <w:rsid w:val="004D7558"/>
    <w:rsid w:val="00547B57"/>
    <w:rsid w:val="00565A3F"/>
    <w:rsid w:val="005A31B2"/>
    <w:rsid w:val="005D55AB"/>
    <w:rsid w:val="00601FC2"/>
    <w:rsid w:val="00642AEA"/>
    <w:rsid w:val="00662A7E"/>
    <w:rsid w:val="0076093F"/>
    <w:rsid w:val="007670E3"/>
    <w:rsid w:val="007911E6"/>
    <w:rsid w:val="007D1ED7"/>
    <w:rsid w:val="007D24B9"/>
    <w:rsid w:val="007E2568"/>
    <w:rsid w:val="00803FBF"/>
    <w:rsid w:val="00816B0C"/>
    <w:rsid w:val="0086662B"/>
    <w:rsid w:val="008C26D2"/>
    <w:rsid w:val="008C4AF2"/>
    <w:rsid w:val="00946F27"/>
    <w:rsid w:val="00965577"/>
    <w:rsid w:val="00992828"/>
    <w:rsid w:val="009E3E68"/>
    <w:rsid w:val="00A77BDA"/>
    <w:rsid w:val="00AA4C9C"/>
    <w:rsid w:val="00B80852"/>
    <w:rsid w:val="00B92652"/>
    <w:rsid w:val="00BA375F"/>
    <w:rsid w:val="00BB3015"/>
    <w:rsid w:val="00BC4E66"/>
    <w:rsid w:val="00BD5A8D"/>
    <w:rsid w:val="00C21B2A"/>
    <w:rsid w:val="00C25B5D"/>
    <w:rsid w:val="00C91D0E"/>
    <w:rsid w:val="00C961F4"/>
    <w:rsid w:val="00CB52F7"/>
    <w:rsid w:val="00CD5D36"/>
    <w:rsid w:val="00E14E99"/>
    <w:rsid w:val="00E22B89"/>
    <w:rsid w:val="00EB1A5C"/>
    <w:rsid w:val="00EB1A6F"/>
    <w:rsid w:val="00EE6DAB"/>
    <w:rsid w:val="00FA52E4"/>
    <w:rsid w:val="00FB6387"/>
    <w:rsid w:val="01B555F8"/>
    <w:rsid w:val="04FC33AD"/>
    <w:rsid w:val="10497935"/>
    <w:rsid w:val="191044B0"/>
    <w:rsid w:val="22C07AC2"/>
    <w:rsid w:val="290F1950"/>
    <w:rsid w:val="2B5936FA"/>
    <w:rsid w:val="2F180BFD"/>
    <w:rsid w:val="343706EB"/>
    <w:rsid w:val="378A1C25"/>
    <w:rsid w:val="38BA27F0"/>
    <w:rsid w:val="3E894239"/>
    <w:rsid w:val="423C5385"/>
    <w:rsid w:val="46F825B9"/>
    <w:rsid w:val="4AFF5F88"/>
    <w:rsid w:val="4FDC0F3A"/>
    <w:rsid w:val="527821A3"/>
    <w:rsid w:val="53D24E8E"/>
    <w:rsid w:val="55200FFC"/>
    <w:rsid w:val="56050C0A"/>
    <w:rsid w:val="5BE86C51"/>
    <w:rsid w:val="5CF76AE6"/>
    <w:rsid w:val="668B1F0D"/>
    <w:rsid w:val="68F75388"/>
    <w:rsid w:val="6B6E16B4"/>
    <w:rsid w:val="701B2694"/>
    <w:rsid w:val="70D72A5F"/>
    <w:rsid w:val="73721FF0"/>
    <w:rsid w:val="76B92C06"/>
    <w:rsid w:val="777EFFA6"/>
    <w:rsid w:val="7ED32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kern w:val="0"/>
      <w:sz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font21"/>
    <w:qFormat/>
    <w:uiPriority w:val="0"/>
    <w:rPr>
      <w:rFonts w:hint="default" w:ascii="Times New Roman" w:hAnsi="Times New Roman" w:cs="Times New Roman"/>
      <w:color w:val="000000"/>
      <w:sz w:val="21"/>
      <w:szCs w:val="21"/>
      <w:u w:val="none"/>
    </w:rPr>
  </w:style>
  <w:style w:type="character" w:customStyle="1" w:styleId="9">
    <w:name w:val="font11"/>
    <w:qFormat/>
    <w:uiPriority w:val="0"/>
    <w:rPr>
      <w:rFonts w:hint="eastAsia" w:ascii="宋体" w:hAnsi="宋体" w:eastAsia="宋体" w:cs="宋体"/>
      <w:color w:val="000000"/>
      <w:sz w:val="21"/>
      <w:szCs w:val="21"/>
      <w:u w:val="none"/>
    </w:rPr>
  </w:style>
  <w:style w:type="paragraph" w:customStyle="1" w:styleId="10">
    <w:name w:val="一级条标题"/>
    <w:basedOn w:val="11"/>
    <w:next w:val="1"/>
    <w:qFormat/>
    <w:uiPriority w:val="0"/>
    <w:pPr>
      <w:numPr>
        <w:ilvl w:val="2"/>
      </w:numPr>
      <w:spacing w:before="0" w:beforeLines="0" w:after="0" w:afterLines="0"/>
      <w:outlineLvl w:val="2"/>
    </w:pPr>
  </w:style>
  <w:style w:type="paragraph" w:customStyle="1" w:styleId="11">
    <w:name w:val="章标题"/>
    <w:next w:val="1"/>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CMQ</Company>
  <Pages>2</Pages>
  <Words>161</Words>
  <Characters>922</Characters>
  <Lines>7</Lines>
  <Paragraphs>2</Paragraphs>
  <TotalTime>68</TotalTime>
  <ScaleCrop>false</ScaleCrop>
  <LinksUpToDate>false</LinksUpToDate>
  <CharactersWithSpaces>1081</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2023-03-01T10:38:00Z</dcterms:created>
  <dc:creator>pc</dc:creator>
  <cp:lastModifiedBy>scjgj</cp:lastModifiedBy>
  <dcterms:modified xsi:type="dcterms:W3CDTF">2025-06-13T15:32:03Z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AE111B8830B5493B90CAD018F5DCA85D</vt:lpwstr>
  </property>
</Properties>
</file>