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仿宋" w:eastAsia="方正小标宋简体" w:cs="方正小标宋简体"/>
          <w:color w:val="000000"/>
          <w:sz w:val="32"/>
          <w:szCs w:val="32"/>
        </w:rPr>
      </w:pPr>
      <w:r>
        <w:rPr>
          <w:rFonts w:hint="eastAsia" w:ascii="方正小标宋简体" w:hAnsi="仿宋" w:eastAsia="方正小标宋简体" w:cs="方正小标宋简体"/>
          <w:color w:val="000000"/>
          <w:sz w:val="32"/>
          <w:szCs w:val="32"/>
        </w:rPr>
        <w:t>重庆市建筑通风和排烟系统用防火阀门产品质量监督抽查实施细则</w:t>
      </w:r>
    </w:p>
    <w:p>
      <w:pPr>
        <w:jc w:val="center"/>
        <w:rPr>
          <w:rFonts w:hint="eastAsia" w:ascii="方正小标宋简体" w:hAnsi="仿宋" w:eastAsia="方正小标宋简体" w:cs="方正小标宋简体"/>
          <w:color w:val="000000"/>
          <w:sz w:val="32"/>
          <w:szCs w:val="32"/>
        </w:rPr>
      </w:pPr>
      <w:r>
        <w:rPr>
          <w:rFonts w:hint="eastAsia" w:eastAsia="方正小标宋简体"/>
          <w:color w:val="000000"/>
          <w:sz w:val="32"/>
          <w:szCs w:val="32"/>
        </w:rPr>
        <w:t>（2025年版）</w:t>
      </w:r>
    </w:p>
    <w:p>
      <w:pPr>
        <w:snapToGrid w:val="0"/>
        <w:spacing w:line="440" w:lineRule="exact"/>
        <w:rPr>
          <w:rFonts w:hint="eastAsia" w:ascii="黑体" w:hAnsi="黑体" w:eastAsia="黑体"/>
          <w:color w:val="000000"/>
        </w:rPr>
      </w:pPr>
    </w:p>
    <w:p>
      <w:pPr>
        <w:snapToGrid w:val="0"/>
        <w:spacing w:line="440" w:lineRule="exact"/>
        <w:outlineLvl w:val="0"/>
        <w:rPr>
          <w:rFonts w:hint="eastAsia" w:ascii="黑体" w:hAnsi="黑体" w:eastAsia="黑体"/>
          <w:color w:val="000000"/>
        </w:rPr>
      </w:pPr>
      <w:r>
        <w:rPr>
          <w:rFonts w:ascii="黑体" w:hAnsi="黑体" w:eastAsia="黑体" w:cs="黑体"/>
          <w:color w:val="000000"/>
        </w:rPr>
        <w:t xml:space="preserve">1  </w:t>
      </w:r>
      <w:r>
        <w:rPr>
          <w:rFonts w:hint="eastAsia" w:ascii="黑体" w:hAnsi="黑体" w:eastAsia="黑体" w:cs="黑体"/>
          <w:color w:val="000000"/>
        </w:rPr>
        <w:t>抽样方法</w:t>
      </w:r>
    </w:p>
    <w:p>
      <w:pPr>
        <w:snapToGrid w:val="0"/>
        <w:spacing w:line="440" w:lineRule="exact"/>
        <w:ind w:firstLine="420" w:firstLineChars="200"/>
        <w:rPr>
          <w:rFonts w:ascii="宋体"/>
          <w:color w:val="000000"/>
        </w:rPr>
      </w:pPr>
      <w:r>
        <w:rPr>
          <w:rFonts w:hint="eastAsia" w:ascii="宋体" w:hAnsi="宋体" w:cs="宋体"/>
          <w:color w:val="000000"/>
        </w:rPr>
        <w:t>以随机抽样的方式在被抽样生产者、销售者的待销产品中抽取。</w:t>
      </w:r>
    </w:p>
    <w:p>
      <w:pPr>
        <w:snapToGrid w:val="0"/>
        <w:spacing w:line="440" w:lineRule="exact"/>
        <w:ind w:firstLine="420" w:firstLineChars="200"/>
        <w:rPr>
          <w:rFonts w:ascii="宋体"/>
          <w:color w:val="000000"/>
        </w:rPr>
      </w:pPr>
      <w:r>
        <w:rPr>
          <w:rFonts w:hint="eastAsia" w:ascii="宋体" w:hAnsi="宋体" w:cs="宋体"/>
          <w:color w:val="000000"/>
        </w:rPr>
        <w:t>随机数一般可使用随机数表等方法产生。</w:t>
      </w:r>
    </w:p>
    <w:p>
      <w:pPr>
        <w:snapToGrid w:val="0"/>
        <w:spacing w:line="440" w:lineRule="exact"/>
        <w:ind w:firstLine="420" w:firstLineChars="200"/>
        <w:rPr>
          <w:rFonts w:ascii="宋体"/>
        </w:rPr>
      </w:pPr>
      <w:r>
        <w:rPr>
          <w:rFonts w:hint="eastAsia" w:ascii="宋体" w:hAnsi="宋体" w:cs="宋体"/>
        </w:rPr>
        <w:t>每批次产品抽取样品</w:t>
      </w:r>
      <w:r>
        <w:rPr>
          <w:rFonts w:ascii="宋体" w:hAnsi="宋体" w:cs="宋体"/>
        </w:rPr>
        <w:t>6</w:t>
      </w:r>
      <w:r>
        <w:rPr>
          <w:rFonts w:hint="eastAsia" w:ascii="宋体" w:hAnsi="宋体" w:cs="宋体"/>
        </w:rPr>
        <w:t>台，其</w:t>
      </w:r>
      <w:r>
        <w:rPr>
          <w:rFonts w:hint="eastAsia" w:ascii="宋体" w:hAnsi="宋体" w:cs="宋体"/>
          <w:color w:val="000000"/>
        </w:rPr>
        <w:t>中</w:t>
      </w:r>
      <w:r>
        <w:rPr>
          <w:rFonts w:ascii="宋体" w:hAnsi="宋体" w:cs="宋体"/>
          <w:color w:val="000000"/>
        </w:rPr>
        <w:t>3</w:t>
      </w:r>
      <w:r>
        <w:rPr>
          <w:rFonts w:hint="eastAsia" w:ascii="宋体" w:hAnsi="宋体" w:cs="宋体"/>
          <w:color w:val="000000"/>
        </w:rPr>
        <w:t>台为检验样品，</w:t>
      </w:r>
      <w:r>
        <w:rPr>
          <w:rFonts w:ascii="宋体" w:hAnsi="宋体" w:cs="宋体"/>
          <w:color w:val="000000"/>
        </w:rPr>
        <w:t>3</w:t>
      </w:r>
      <w:r>
        <w:rPr>
          <w:rFonts w:hint="eastAsia" w:ascii="宋体" w:hAnsi="宋体" w:cs="宋体"/>
          <w:color w:val="000000"/>
        </w:rPr>
        <w:t>台为备用样品。当抽取的样品为防火阀或排烟防火阀时，另抽取该样品配套使用的温感器样品</w:t>
      </w:r>
      <w:r>
        <w:rPr>
          <w:rFonts w:ascii="宋体" w:hAnsi="宋体" w:cs="宋体"/>
          <w:color w:val="000000"/>
        </w:rPr>
        <w:t>30</w:t>
      </w:r>
      <w:r>
        <w:rPr>
          <w:rFonts w:hint="eastAsia" w:ascii="宋体" w:hAnsi="宋体" w:cs="宋体"/>
          <w:color w:val="000000"/>
        </w:rPr>
        <w:t>个，其中</w:t>
      </w:r>
      <w:r>
        <w:rPr>
          <w:rFonts w:ascii="宋体" w:hAnsi="宋体" w:cs="宋体"/>
          <w:color w:val="000000"/>
        </w:rPr>
        <w:t>15</w:t>
      </w:r>
      <w:r>
        <w:rPr>
          <w:rFonts w:hint="eastAsia" w:ascii="宋体" w:hAnsi="宋体" w:cs="宋体"/>
          <w:color w:val="000000"/>
        </w:rPr>
        <w:t>个为检验样品、</w:t>
      </w:r>
      <w:r>
        <w:rPr>
          <w:rFonts w:ascii="宋体" w:hAnsi="宋体" w:cs="宋体"/>
          <w:color w:val="000000"/>
        </w:rPr>
        <w:t>15</w:t>
      </w:r>
      <w:r>
        <w:rPr>
          <w:rFonts w:hint="eastAsia" w:ascii="宋体" w:hAnsi="宋体" w:cs="宋体"/>
          <w:color w:val="000000"/>
        </w:rPr>
        <w:t>个为备用样品。</w:t>
      </w:r>
    </w:p>
    <w:p>
      <w:pPr>
        <w:snapToGrid w:val="0"/>
        <w:spacing w:line="440" w:lineRule="exact"/>
        <w:ind w:firstLine="420" w:firstLineChars="200"/>
        <w:rPr>
          <w:rFonts w:ascii="宋体"/>
          <w:color w:val="000000"/>
        </w:rPr>
      </w:pPr>
    </w:p>
    <w:p>
      <w:pPr>
        <w:snapToGrid w:val="0"/>
        <w:spacing w:line="440" w:lineRule="exact"/>
        <w:outlineLvl w:val="0"/>
        <w:rPr>
          <w:rFonts w:hint="eastAsia" w:ascii="黑体" w:hAnsi="黑体" w:eastAsia="黑体"/>
          <w:color w:val="000000"/>
        </w:rPr>
      </w:pPr>
      <w:r>
        <w:rPr>
          <w:rFonts w:ascii="黑体" w:hAnsi="黑体" w:eastAsia="黑体" w:cs="黑体"/>
          <w:color w:val="000000"/>
        </w:rPr>
        <w:t xml:space="preserve">2  </w:t>
      </w:r>
      <w:r>
        <w:rPr>
          <w:rFonts w:hint="eastAsia" w:ascii="黑体" w:hAnsi="黑体" w:eastAsia="黑体" w:cs="黑体"/>
          <w:color w:val="000000"/>
        </w:rPr>
        <w:t>检验依据</w:t>
      </w:r>
    </w:p>
    <w:p>
      <w:pPr>
        <w:snapToGrid w:val="0"/>
        <w:spacing w:line="440" w:lineRule="exact"/>
        <w:jc w:val="center"/>
        <w:rPr>
          <w:rFonts w:ascii="宋体"/>
          <w:color w:val="000000"/>
        </w:rPr>
      </w:pPr>
      <w:r>
        <w:rPr>
          <w:rFonts w:hint="eastAsia" w:ascii="宋体" w:hAnsi="宋体" w:cs="宋体"/>
          <w:color w:val="000000"/>
        </w:rPr>
        <w:t>表</w:t>
      </w:r>
      <w:r>
        <w:rPr>
          <w:rFonts w:ascii="宋体" w:hAnsi="宋体" w:cs="宋体"/>
          <w:color w:val="000000"/>
        </w:rPr>
        <w:t>1</w:t>
      </w:r>
      <w:r>
        <w:rPr>
          <w:rFonts w:hint="eastAsia" w:ascii="宋体" w:hAnsi="宋体" w:cs="宋体"/>
          <w:color w:val="000000"/>
        </w:rPr>
        <w:t>排烟防火阀及防火阀产品检验项目</w:t>
      </w:r>
    </w:p>
    <w:tbl>
      <w:tblPr>
        <w:tblStyle w:val="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2966"/>
        <w:gridCol w:w="4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rFonts w:hint="eastAsia" w:cs="宋体"/>
                <w:color w:val="000000"/>
              </w:rPr>
              <w:t>序号</w:t>
            </w:r>
          </w:p>
        </w:tc>
        <w:tc>
          <w:tcPr>
            <w:tcW w:w="2966" w:type="dxa"/>
            <w:tcMar>
              <w:left w:w="0" w:type="dxa"/>
              <w:right w:w="0" w:type="dxa"/>
            </w:tcMar>
            <w:vAlign w:val="center"/>
          </w:tcPr>
          <w:p>
            <w:pPr>
              <w:snapToGrid w:val="0"/>
              <w:spacing w:line="440" w:lineRule="exact"/>
              <w:ind w:firstLine="420"/>
              <w:jc w:val="center"/>
              <w:rPr>
                <w:color w:val="000000"/>
              </w:rPr>
            </w:pPr>
            <w:r>
              <w:rPr>
                <w:rFonts w:hint="eastAsia" w:cs="宋体"/>
                <w:color w:val="000000"/>
              </w:rPr>
              <w:t>检验项目</w:t>
            </w:r>
          </w:p>
        </w:tc>
        <w:tc>
          <w:tcPr>
            <w:tcW w:w="4547" w:type="dxa"/>
            <w:tcMar>
              <w:left w:w="0" w:type="dxa"/>
              <w:right w:w="0" w:type="dxa"/>
            </w:tcMar>
            <w:vAlign w:val="center"/>
          </w:tcPr>
          <w:p>
            <w:pPr>
              <w:snapToGrid w:val="0"/>
              <w:spacing w:line="440" w:lineRule="exact"/>
              <w:ind w:firstLine="420"/>
              <w:jc w:val="center"/>
              <w:rPr>
                <w:color w:val="000000"/>
              </w:rPr>
            </w:pPr>
            <w:r>
              <w:rPr>
                <w:rFonts w:hint="eastAsia" w:cs="宋体"/>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1</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驱动转矩</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2</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复位功能</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3</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温感器控制</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4</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手动控制</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5</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电动控制</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6</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绝缘性能</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7</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环境温度下的漏风量</w:t>
            </w:r>
          </w:p>
        </w:tc>
        <w:tc>
          <w:tcPr>
            <w:tcW w:w="4547" w:type="dxa"/>
            <w:tcMar>
              <w:left w:w="0" w:type="dxa"/>
              <w:right w:w="0" w:type="dxa"/>
            </w:tcMar>
            <w:vAlign w:val="center"/>
          </w:tcPr>
          <w:p>
            <w:pPr>
              <w:snapToGrid w:val="0"/>
              <w:spacing w:line="440" w:lineRule="exact"/>
              <w:jc w:val="center"/>
              <w:rPr>
                <w:color w:val="000000"/>
              </w:rPr>
            </w:pPr>
            <w:r>
              <w:rPr>
                <w:color w:val="000000"/>
              </w:rPr>
              <w:t>GB 15930—2007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1286"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8</w:t>
            </w:r>
          </w:p>
        </w:tc>
        <w:tc>
          <w:tcPr>
            <w:tcW w:w="2966" w:type="dxa"/>
            <w:tcMar>
              <w:left w:w="0" w:type="dxa"/>
              <w:right w:w="0" w:type="dxa"/>
            </w:tcMar>
            <w:vAlign w:val="center"/>
          </w:tcPr>
          <w:p>
            <w:pPr>
              <w:snapToGrid w:val="0"/>
              <w:spacing w:line="440" w:lineRule="exact"/>
              <w:jc w:val="center"/>
              <w:rPr>
                <w:color w:val="000000"/>
              </w:rPr>
            </w:pPr>
            <w:r>
              <w:rPr>
                <w:rFonts w:hint="eastAsia" w:cs="宋体"/>
                <w:color w:val="000000"/>
              </w:rPr>
              <w:t>耐火性能</w:t>
            </w:r>
          </w:p>
        </w:tc>
        <w:tc>
          <w:tcPr>
            <w:tcW w:w="4547" w:type="dxa"/>
            <w:tcMar>
              <w:left w:w="0" w:type="dxa"/>
              <w:right w:w="0" w:type="dxa"/>
            </w:tcMar>
          </w:tcPr>
          <w:p>
            <w:pPr>
              <w:snapToGrid w:val="0"/>
              <w:spacing w:line="440" w:lineRule="exact"/>
              <w:jc w:val="center"/>
              <w:rPr>
                <w:color w:val="000000"/>
              </w:rPr>
            </w:pPr>
            <w:r>
              <w:rPr>
                <w:color w:val="000000"/>
              </w:rPr>
              <w:t xml:space="preserve">GB 15930—2007 </w:t>
            </w:r>
          </w:p>
        </w:tc>
      </w:tr>
    </w:tbl>
    <w:p>
      <w:pPr>
        <w:snapToGrid w:val="0"/>
        <w:spacing w:line="440" w:lineRule="exact"/>
        <w:ind w:firstLine="420" w:firstLineChars="200"/>
        <w:rPr>
          <w:rFonts w:ascii="宋体"/>
          <w:color w:val="000000"/>
        </w:rPr>
      </w:pPr>
    </w:p>
    <w:p>
      <w:pPr>
        <w:snapToGrid w:val="0"/>
        <w:spacing w:line="440" w:lineRule="exact"/>
        <w:jc w:val="center"/>
        <w:rPr>
          <w:rFonts w:ascii="宋体"/>
          <w:color w:val="000000"/>
        </w:rPr>
      </w:pPr>
      <w:r>
        <w:rPr>
          <w:rFonts w:hint="eastAsia" w:ascii="宋体" w:hAnsi="宋体" w:cs="宋体"/>
          <w:color w:val="000000"/>
        </w:rPr>
        <w:t>表</w:t>
      </w:r>
      <w:r>
        <w:rPr>
          <w:rFonts w:ascii="宋体" w:hAnsi="宋体" w:cs="宋体"/>
          <w:color w:val="000000"/>
        </w:rPr>
        <w:t>2</w:t>
      </w:r>
      <w:r>
        <w:rPr>
          <w:rFonts w:hint="eastAsia" w:ascii="宋体" w:hAnsi="宋体" w:cs="宋体"/>
          <w:color w:val="000000"/>
        </w:rPr>
        <w:t>排烟阀产品检验项目</w:t>
      </w:r>
    </w:p>
    <w:tbl>
      <w:tblPr>
        <w:tblStyle w:val="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2551"/>
        <w:gridCol w:w="4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9" w:type="dxa"/>
            <w:tcBorders>
              <w:left w:val="single" w:color="auto" w:sz="8" w:space="0"/>
            </w:tcBorders>
            <w:tcMar>
              <w:left w:w="0" w:type="dxa"/>
              <w:right w:w="0" w:type="dxa"/>
            </w:tcMar>
            <w:vAlign w:val="center"/>
          </w:tcPr>
          <w:p>
            <w:pPr>
              <w:snapToGrid w:val="0"/>
              <w:spacing w:line="440" w:lineRule="exact"/>
              <w:jc w:val="center"/>
              <w:rPr>
                <w:color w:val="000000"/>
              </w:rPr>
            </w:pPr>
            <w:r>
              <w:rPr>
                <w:rFonts w:hint="eastAsia" w:cs="宋体"/>
                <w:color w:val="000000"/>
              </w:rPr>
              <w:t>序号</w:t>
            </w:r>
          </w:p>
        </w:tc>
        <w:tc>
          <w:tcPr>
            <w:tcW w:w="2551" w:type="dxa"/>
            <w:tcMar>
              <w:left w:w="0" w:type="dxa"/>
              <w:right w:w="0" w:type="dxa"/>
            </w:tcMar>
            <w:vAlign w:val="center"/>
          </w:tcPr>
          <w:p>
            <w:pPr>
              <w:snapToGrid w:val="0"/>
              <w:spacing w:line="440" w:lineRule="exact"/>
              <w:jc w:val="center"/>
              <w:rPr>
                <w:color w:val="000000"/>
              </w:rPr>
            </w:pPr>
            <w:r>
              <w:rPr>
                <w:rFonts w:hint="eastAsia" w:cs="宋体"/>
                <w:color w:val="000000"/>
              </w:rPr>
              <w:t>检验项目</w:t>
            </w:r>
          </w:p>
        </w:tc>
        <w:tc>
          <w:tcPr>
            <w:tcW w:w="4979" w:type="dxa"/>
            <w:tcMar>
              <w:left w:w="0" w:type="dxa"/>
              <w:right w:w="0" w:type="dxa"/>
            </w:tcMar>
            <w:vAlign w:val="center"/>
          </w:tcPr>
          <w:p>
            <w:pPr>
              <w:snapToGrid w:val="0"/>
              <w:spacing w:line="440" w:lineRule="exact"/>
              <w:jc w:val="center"/>
              <w:rPr>
                <w:color w:val="000000"/>
              </w:rPr>
            </w:pPr>
            <w:r>
              <w:rPr>
                <w:rFonts w:hint="eastAsia" w:cs="宋体"/>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69"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1</w:t>
            </w:r>
          </w:p>
        </w:tc>
        <w:tc>
          <w:tcPr>
            <w:tcW w:w="2551" w:type="dxa"/>
            <w:tcMar>
              <w:left w:w="0" w:type="dxa"/>
              <w:right w:w="0" w:type="dxa"/>
            </w:tcMar>
            <w:vAlign w:val="center"/>
          </w:tcPr>
          <w:p>
            <w:pPr>
              <w:snapToGrid w:val="0"/>
              <w:spacing w:line="440" w:lineRule="exact"/>
              <w:jc w:val="center"/>
              <w:rPr>
                <w:color w:val="000000"/>
              </w:rPr>
            </w:pPr>
            <w:r>
              <w:rPr>
                <w:rFonts w:hint="eastAsia" w:cs="宋体"/>
                <w:color w:val="000000"/>
              </w:rPr>
              <w:t>复位功能</w:t>
            </w:r>
          </w:p>
        </w:tc>
        <w:tc>
          <w:tcPr>
            <w:tcW w:w="4979"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269"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2</w:t>
            </w:r>
          </w:p>
        </w:tc>
        <w:tc>
          <w:tcPr>
            <w:tcW w:w="2551" w:type="dxa"/>
            <w:tcMar>
              <w:left w:w="0" w:type="dxa"/>
              <w:right w:w="0" w:type="dxa"/>
            </w:tcMar>
            <w:vAlign w:val="center"/>
          </w:tcPr>
          <w:p>
            <w:pPr>
              <w:snapToGrid w:val="0"/>
              <w:spacing w:line="440" w:lineRule="exact"/>
              <w:jc w:val="center"/>
              <w:rPr>
                <w:color w:val="000000"/>
              </w:rPr>
            </w:pPr>
            <w:r>
              <w:rPr>
                <w:rFonts w:hint="eastAsia" w:cs="宋体"/>
                <w:color w:val="000000"/>
              </w:rPr>
              <w:t>手动控制</w:t>
            </w:r>
          </w:p>
        </w:tc>
        <w:tc>
          <w:tcPr>
            <w:tcW w:w="4979"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269"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3</w:t>
            </w:r>
          </w:p>
        </w:tc>
        <w:tc>
          <w:tcPr>
            <w:tcW w:w="2551" w:type="dxa"/>
            <w:tcMar>
              <w:left w:w="0" w:type="dxa"/>
              <w:right w:w="0" w:type="dxa"/>
            </w:tcMar>
            <w:vAlign w:val="center"/>
          </w:tcPr>
          <w:p>
            <w:pPr>
              <w:snapToGrid w:val="0"/>
              <w:spacing w:line="440" w:lineRule="exact"/>
              <w:jc w:val="center"/>
              <w:rPr>
                <w:color w:val="000000"/>
              </w:rPr>
            </w:pPr>
            <w:r>
              <w:rPr>
                <w:rFonts w:hint="eastAsia" w:cs="宋体"/>
                <w:color w:val="000000"/>
              </w:rPr>
              <w:t>电动控制</w:t>
            </w:r>
          </w:p>
        </w:tc>
        <w:tc>
          <w:tcPr>
            <w:tcW w:w="4979"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269"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4</w:t>
            </w:r>
          </w:p>
        </w:tc>
        <w:tc>
          <w:tcPr>
            <w:tcW w:w="2551" w:type="dxa"/>
            <w:tcMar>
              <w:left w:w="0" w:type="dxa"/>
              <w:right w:w="0" w:type="dxa"/>
            </w:tcMar>
            <w:vAlign w:val="center"/>
          </w:tcPr>
          <w:p>
            <w:pPr>
              <w:snapToGrid w:val="0"/>
              <w:spacing w:line="440" w:lineRule="exact"/>
              <w:jc w:val="center"/>
              <w:rPr>
                <w:color w:val="000000"/>
              </w:rPr>
            </w:pPr>
            <w:r>
              <w:rPr>
                <w:rFonts w:hint="eastAsia" w:cs="宋体"/>
                <w:color w:val="000000"/>
              </w:rPr>
              <w:t>绝缘性能</w:t>
            </w:r>
          </w:p>
        </w:tc>
        <w:tc>
          <w:tcPr>
            <w:tcW w:w="4979" w:type="dxa"/>
            <w:tcMar>
              <w:left w:w="0" w:type="dxa"/>
              <w:right w:w="0" w:type="dxa"/>
            </w:tcMar>
          </w:tcPr>
          <w:p>
            <w:pPr>
              <w:snapToGrid w:val="0"/>
              <w:spacing w:line="440" w:lineRule="exact"/>
              <w:jc w:val="center"/>
              <w:rPr>
                <w:color w:val="000000"/>
              </w:rPr>
            </w:pPr>
            <w:r>
              <w:rPr>
                <w:color w:val="000000"/>
              </w:rPr>
              <w:t xml:space="preserve">GB 15930—2007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269" w:type="dxa"/>
            <w:tcBorders>
              <w:left w:val="single" w:color="auto" w:sz="8" w:space="0"/>
            </w:tcBorders>
            <w:tcMar>
              <w:left w:w="0" w:type="dxa"/>
              <w:right w:w="0" w:type="dxa"/>
            </w:tcMar>
            <w:vAlign w:val="center"/>
          </w:tcPr>
          <w:p>
            <w:pPr>
              <w:snapToGrid w:val="0"/>
              <w:spacing w:line="440" w:lineRule="exact"/>
              <w:jc w:val="center"/>
              <w:rPr>
                <w:color w:val="000000"/>
              </w:rPr>
            </w:pPr>
            <w:r>
              <w:rPr>
                <w:color w:val="000000"/>
              </w:rPr>
              <w:t>5</w:t>
            </w:r>
          </w:p>
        </w:tc>
        <w:tc>
          <w:tcPr>
            <w:tcW w:w="2551" w:type="dxa"/>
            <w:tcMar>
              <w:left w:w="0" w:type="dxa"/>
              <w:right w:w="0" w:type="dxa"/>
            </w:tcMar>
            <w:vAlign w:val="center"/>
          </w:tcPr>
          <w:p>
            <w:pPr>
              <w:snapToGrid w:val="0"/>
              <w:spacing w:line="440" w:lineRule="exact"/>
              <w:jc w:val="center"/>
              <w:rPr>
                <w:color w:val="000000"/>
              </w:rPr>
            </w:pPr>
            <w:r>
              <w:rPr>
                <w:rFonts w:hint="eastAsia" w:cs="宋体"/>
                <w:color w:val="000000"/>
              </w:rPr>
              <w:t>环境温度下的漏风量</w:t>
            </w:r>
          </w:p>
        </w:tc>
        <w:tc>
          <w:tcPr>
            <w:tcW w:w="4979" w:type="dxa"/>
            <w:tcMar>
              <w:left w:w="0" w:type="dxa"/>
              <w:right w:w="0" w:type="dxa"/>
            </w:tcMar>
          </w:tcPr>
          <w:p>
            <w:pPr>
              <w:snapToGrid w:val="0"/>
              <w:spacing w:line="440" w:lineRule="exact"/>
              <w:jc w:val="center"/>
              <w:rPr>
                <w:color w:val="000000"/>
              </w:rPr>
            </w:pPr>
            <w:r>
              <w:rPr>
                <w:color w:val="000000"/>
              </w:rPr>
              <w:t xml:space="preserve">GB 15930—2007 </w:t>
            </w:r>
          </w:p>
        </w:tc>
      </w:tr>
    </w:tbl>
    <w:p>
      <w:pPr>
        <w:snapToGrid w:val="0"/>
        <w:spacing w:line="440" w:lineRule="exact"/>
        <w:ind w:firstLine="420" w:firstLineChars="200"/>
        <w:rPr>
          <w:rFonts w:ascii="宋体"/>
        </w:rPr>
      </w:pPr>
      <w:r>
        <w:rPr>
          <w:rFonts w:hint="eastAsia" w:ascii="宋体" w:hAnsi="宋体" w:cs="宋体"/>
        </w:rPr>
        <w:t>执行企业标准、团体标准、地方标准的产品，检验项目参照上述内容执行。</w:t>
      </w:r>
    </w:p>
    <w:p>
      <w:pPr>
        <w:snapToGrid w:val="0"/>
        <w:spacing w:line="440" w:lineRule="exact"/>
        <w:ind w:firstLine="420" w:firstLineChars="200"/>
        <w:rPr>
          <w:rFonts w:hint="eastAsia"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pPr>
    </w:p>
    <w:p>
      <w:pPr>
        <w:snapToGrid w:val="0"/>
        <w:spacing w:line="440" w:lineRule="exact"/>
        <w:outlineLvl w:val="0"/>
        <w:rPr>
          <w:rFonts w:hint="eastAsia" w:ascii="黑体" w:hAnsi="黑体" w:eastAsia="黑体"/>
          <w:color w:val="000000"/>
        </w:rPr>
      </w:pPr>
      <w:r>
        <w:rPr>
          <w:rFonts w:ascii="黑体" w:hAnsi="黑体" w:eastAsia="黑体" w:cs="黑体"/>
          <w:color w:val="000000"/>
        </w:rPr>
        <w:t xml:space="preserve">3  </w:t>
      </w:r>
      <w:r>
        <w:rPr>
          <w:rFonts w:hint="eastAsia" w:ascii="黑体" w:hAnsi="黑体" w:eastAsia="黑体" w:cs="黑体"/>
          <w:color w:val="000000"/>
        </w:rPr>
        <w:t>判定规则</w:t>
      </w:r>
    </w:p>
    <w:p>
      <w:pPr>
        <w:snapToGrid w:val="0"/>
        <w:spacing w:line="440" w:lineRule="exact"/>
        <w:rPr>
          <w:rFonts w:ascii="宋体"/>
        </w:rPr>
      </w:pPr>
      <w:r>
        <w:rPr>
          <w:rFonts w:ascii="宋体" w:hAnsi="宋体" w:cs="宋体"/>
        </w:rPr>
        <w:t>3.1</w:t>
      </w:r>
      <w:r>
        <w:rPr>
          <w:rFonts w:hint="eastAsia" w:ascii="宋体" w:hAnsi="宋体" w:cs="宋体"/>
        </w:rPr>
        <w:t>依据标准</w:t>
      </w:r>
    </w:p>
    <w:p>
      <w:pPr>
        <w:snapToGrid w:val="0"/>
        <w:spacing w:line="440" w:lineRule="exact"/>
        <w:ind w:firstLine="420" w:firstLineChars="200"/>
        <w:rPr>
          <w:color w:val="000000"/>
        </w:rPr>
      </w:pPr>
      <w:r>
        <w:t xml:space="preserve">GB 15930-2007 </w:t>
      </w:r>
      <w:r>
        <w:rPr>
          <w:rFonts w:hint="eastAsia" w:cs="宋体"/>
        </w:rPr>
        <w:t>建筑通风和排烟系统用防火阀门</w:t>
      </w:r>
      <w:r>
        <w:t xml:space="preserve"> </w:t>
      </w:r>
    </w:p>
    <w:p>
      <w:pPr>
        <w:snapToGrid w:val="0"/>
        <w:spacing w:line="440" w:lineRule="exact"/>
        <w:ind w:firstLine="420" w:firstLineChars="200"/>
        <w:rPr>
          <w:rFonts w:ascii="宋体"/>
        </w:rPr>
      </w:pPr>
      <w:r>
        <w:rPr>
          <w:rFonts w:hint="eastAsia" w:ascii="宋体" w:hAnsi="宋体" w:cs="宋体"/>
        </w:rPr>
        <w:t>现行有效的企业标准、团体标准、地方标准及产品明示质量要求</w:t>
      </w:r>
    </w:p>
    <w:p>
      <w:pPr>
        <w:snapToGrid w:val="0"/>
        <w:spacing w:line="440" w:lineRule="exact"/>
        <w:rPr>
          <w:rFonts w:ascii="宋体"/>
          <w:color w:val="000000"/>
        </w:rPr>
      </w:pPr>
      <w:r>
        <w:rPr>
          <w:rFonts w:ascii="宋体" w:hAnsi="宋体" w:cs="宋体"/>
          <w:color w:val="000000"/>
        </w:rPr>
        <w:t>3.2</w:t>
      </w:r>
      <w:r>
        <w:rPr>
          <w:rFonts w:hint="eastAsia" w:ascii="宋体" w:hAnsi="宋体" w:cs="宋体"/>
          <w:color w:val="000000"/>
        </w:rPr>
        <w:t>判定原则</w:t>
      </w:r>
      <w:bookmarkStart w:id="0" w:name="_GoBack"/>
      <w:bookmarkEnd w:id="0"/>
    </w:p>
    <w:p>
      <w:pPr>
        <w:snapToGrid w:val="0"/>
        <w:spacing w:line="440" w:lineRule="exact"/>
        <w:ind w:firstLine="420" w:firstLineChars="200"/>
        <w:rPr>
          <w:rFonts w:ascii="宋体"/>
          <w:color w:val="000000"/>
        </w:rPr>
      </w:pPr>
      <w:r>
        <w:rPr>
          <w:rFonts w:hint="eastAsia" w:ascii="宋体" w:hAnsi="宋体" w:cs="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color w:val="000000"/>
        </w:rPr>
      </w:pPr>
      <w:r>
        <w:rPr>
          <w:rFonts w:hint="eastAsia" w:ascii="宋体" w:hAnsi="宋体" w:cs="宋体"/>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rPr>
      </w:pPr>
      <w:r>
        <w:rPr>
          <w:rFonts w:hint="eastAsia" w:ascii="宋体" w:hAnsi="宋体" w:cs="宋体"/>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rPr>
      </w:pPr>
      <w:r>
        <w:rPr>
          <w:rFonts w:hint="eastAsia" w:ascii="宋体" w:hAnsi="宋体" w:cs="宋体"/>
          <w:color w:val="000000"/>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宋体"/>
          <w:color w:val="000000"/>
        </w:rPr>
      </w:pPr>
      <w:r>
        <w:rPr>
          <w:rFonts w:hint="eastAsia" w:ascii="宋体" w:hAnsi="宋体" w:cs="宋体"/>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rPr>
      </w:pPr>
      <w:r>
        <w:rPr>
          <w:rFonts w:hint="eastAsia" w:ascii="宋体" w:hAnsi="宋体" w:cs="宋体"/>
          <w:color w:val="000000"/>
        </w:rPr>
        <w:t>若被检产品明示的质量要求缺少本细则中检验项目依据的推荐性标准要求时，该项目不参与判定。</w:t>
      </w:r>
    </w:p>
    <w:p/>
    <w:p/>
    <w:sectPr>
      <w:headerReference r:id="rId3" w:type="default"/>
      <w:footerReference r:id="rId4" w:type="default"/>
      <w:pgSz w:w="11906" w:h="16838"/>
      <w:pgMar w:top="1361" w:right="1588"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cs="Times New Roman"/>
      </w:rP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14C8B"/>
    <w:rsid w:val="000556BB"/>
    <w:rsid w:val="00095194"/>
    <w:rsid w:val="000D116B"/>
    <w:rsid w:val="000D2236"/>
    <w:rsid w:val="000F47BD"/>
    <w:rsid w:val="00104B27"/>
    <w:rsid w:val="00110DB3"/>
    <w:rsid w:val="00121F76"/>
    <w:rsid w:val="00126693"/>
    <w:rsid w:val="001359DF"/>
    <w:rsid w:val="00175802"/>
    <w:rsid w:val="0018482A"/>
    <w:rsid w:val="00194912"/>
    <w:rsid w:val="001F0A4A"/>
    <w:rsid w:val="001F2833"/>
    <w:rsid w:val="00201D3C"/>
    <w:rsid w:val="0022304B"/>
    <w:rsid w:val="00231B04"/>
    <w:rsid w:val="00253066"/>
    <w:rsid w:val="00276A28"/>
    <w:rsid w:val="00277D59"/>
    <w:rsid w:val="00282053"/>
    <w:rsid w:val="00282F43"/>
    <w:rsid w:val="00292F7F"/>
    <w:rsid w:val="00297D8B"/>
    <w:rsid w:val="002A2375"/>
    <w:rsid w:val="002C2F5A"/>
    <w:rsid w:val="002C40EE"/>
    <w:rsid w:val="002D28CD"/>
    <w:rsid w:val="00300F60"/>
    <w:rsid w:val="00321D80"/>
    <w:rsid w:val="00323D97"/>
    <w:rsid w:val="00340E2B"/>
    <w:rsid w:val="00373C0E"/>
    <w:rsid w:val="003808FF"/>
    <w:rsid w:val="003968AC"/>
    <w:rsid w:val="003D5220"/>
    <w:rsid w:val="003D5375"/>
    <w:rsid w:val="00444A24"/>
    <w:rsid w:val="0045466D"/>
    <w:rsid w:val="00472423"/>
    <w:rsid w:val="004E1C1B"/>
    <w:rsid w:val="004F077D"/>
    <w:rsid w:val="004F577C"/>
    <w:rsid w:val="00527921"/>
    <w:rsid w:val="005521CF"/>
    <w:rsid w:val="0058305B"/>
    <w:rsid w:val="005A46EF"/>
    <w:rsid w:val="005B7C09"/>
    <w:rsid w:val="00600BCE"/>
    <w:rsid w:val="00605616"/>
    <w:rsid w:val="00623104"/>
    <w:rsid w:val="00627BFC"/>
    <w:rsid w:val="00645522"/>
    <w:rsid w:val="00696873"/>
    <w:rsid w:val="006B39F2"/>
    <w:rsid w:val="006B652C"/>
    <w:rsid w:val="006E1666"/>
    <w:rsid w:val="006E7112"/>
    <w:rsid w:val="006E7E62"/>
    <w:rsid w:val="007072D6"/>
    <w:rsid w:val="00707E52"/>
    <w:rsid w:val="007220C8"/>
    <w:rsid w:val="007B39F8"/>
    <w:rsid w:val="007E2706"/>
    <w:rsid w:val="007F4AD8"/>
    <w:rsid w:val="008070EF"/>
    <w:rsid w:val="00812B70"/>
    <w:rsid w:val="00813A0F"/>
    <w:rsid w:val="00892A50"/>
    <w:rsid w:val="008B1BF1"/>
    <w:rsid w:val="008C57CE"/>
    <w:rsid w:val="008D31BB"/>
    <w:rsid w:val="008E6FAA"/>
    <w:rsid w:val="0090107F"/>
    <w:rsid w:val="00913D2C"/>
    <w:rsid w:val="00931482"/>
    <w:rsid w:val="009602DE"/>
    <w:rsid w:val="009738C6"/>
    <w:rsid w:val="00990AF3"/>
    <w:rsid w:val="00991C9D"/>
    <w:rsid w:val="009A434D"/>
    <w:rsid w:val="009A5A67"/>
    <w:rsid w:val="00A06DD8"/>
    <w:rsid w:val="00A26385"/>
    <w:rsid w:val="00A33005"/>
    <w:rsid w:val="00A577E2"/>
    <w:rsid w:val="00A81025"/>
    <w:rsid w:val="00A871CD"/>
    <w:rsid w:val="00A9131F"/>
    <w:rsid w:val="00A957C3"/>
    <w:rsid w:val="00AC3641"/>
    <w:rsid w:val="00B61E92"/>
    <w:rsid w:val="00BF582D"/>
    <w:rsid w:val="00C26162"/>
    <w:rsid w:val="00C603CF"/>
    <w:rsid w:val="00C749A4"/>
    <w:rsid w:val="00C77088"/>
    <w:rsid w:val="00C87660"/>
    <w:rsid w:val="00CB5BE0"/>
    <w:rsid w:val="00CC0F6A"/>
    <w:rsid w:val="00CE3CEB"/>
    <w:rsid w:val="00CE445E"/>
    <w:rsid w:val="00D01997"/>
    <w:rsid w:val="00D05794"/>
    <w:rsid w:val="00D2319E"/>
    <w:rsid w:val="00D3193D"/>
    <w:rsid w:val="00D37DED"/>
    <w:rsid w:val="00D43A6E"/>
    <w:rsid w:val="00D843C8"/>
    <w:rsid w:val="00D92A45"/>
    <w:rsid w:val="00DA3677"/>
    <w:rsid w:val="00DA4A93"/>
    <w:rsid w:val="00DB286A"/>
    <w:rsid w:val="00DB48F8"/>
    <w:rsid w:val="00DC728B"/>
    <w:rsid w:val="00DC7E83"/>
    <w:rsid w:val="00DD1BEE"/>
    <w:rsid w:val="00DD5955"/>
    <w:rsid w:val="00DE575F"/>
    <w:rsid w:val="00DF3AAD"/>
    <w:rsid w:val="00E31BE6"/>
    <w:rsid w:val="00E77AF4"/>
    <w:rsid w:val="00E817EF"/>
    <w:rsid w:val="00E9787A"/>
    <w:rsid w:val="00EB1677"/>
    <w:rsid w:val="00ED1942"/>
    <w:rsid w:val="00ED4C3A"/>
    <w:rsid w:val="00ED77DF"/>
    <w:rsid w:val="00EF5E2D"/>
    <w:rsid w:val="00F32572"/>
    <w:rsid w:val="00F36E92"/>
    <w:rsid w:val="00F53932"/>
    <w:rsid w:val="00F66B61"/>
    <w:rsid w:val="00F762D5"/>
    <w:rsid w:val="00F7765C"/>
    <w:rsid w:val="00F82BC4"/>
    <w:rsid w:val="00F90828"/>
    <w:rsid w:val="00FA1093"/>
    <w:rsid w:val="00FA7C4B"/>
    <w:rsid w:val="00FD696B"/>
    <w:rsid w:val="00FF4027"/>
    <w:rsid w:val="0ADE5B45"/>
    <w:rsid w:val="1353076E"/>
    <w:rsid w:val="158863EC"/>
    <w:rsid w:val="292C4884"/>
    <w:rsid w:val="2ABA7FA7"/>
    <w:rsid w:val="300044E3"/>
    <w:rsid w:val="34817FC2"/>
    <w:rsid w:val="35C735F8"/>
    <w:rsid w:val="379815F7"/>
    <w:rsid w:val="39BD0892"/>
    <w:rsid w:val="3A094885"/>
    <w:rsid w:val="40356F5E"/>
    <w:rsid w:val="45541AB5"/>
    <w:rsid w:val="46E87B49"/>
    <w:rsid w:val="543D587B"/>
    <w:rsid w:val="55EF0F03"/>
    <w:rsid w:val="56BB1673"/>
    <w:rsid w:val="57C479AF"/>
    <w:rsid w:val="6F5C5D49"/>
    <w:rsid w:val="71094736"/>
    <w:rsid w:val="75140B0A"/>
    <w:rsid w:val="756D53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rFonts w:ascii="Calibri" w:hAnsi="Calibri" w:cs="Calibri"/>
      <w:kern w:val="0"/>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cs="Calibri"/>
      <w:kern w:val="0"/>
      <w:sz w:val="18"/>
      <w:szCs w:val="18"/>
    </w:rPr>
  </w:style>
  <w:style w:type="table" w:styleId="5">
    <w:name w:val="Table Grid"/>
    <w:basedOn w:val="4"/>
    <w:qFormat/>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page number"/>
    <w:basedOn w:val="6"/>
    <w:uiPriority w:val="99"/>
  </w:style>
  <w:style w:type="character" w:customStyle="1" w:styleId="8">
    <w:name w:val="页脚 字符"/>
    <w:link w:val="2"/>
    <w:qFormat/>
    <w:locked/>
    <w:uiPriority w:val="99"/>
    <w:rPr>
      <w:sz w:val="18"/>
      <w:szCs w:val="18"/>
    </w:rPr>
  </w:style>
  <w:style w:type="character" w:customStyle="1" w:styleId="9">
    <w:name w:val="页眉 字符"/>
    <w:link w:val="3"/>
    <w:locked/>
    <w:uiPriority w:val="99"/>
    <w:rPr>
      <w:sz w:val="18"/>
      <w:szCs w:val="18"/>
    </w:rPr>
  </w:style>
  <w:style w:type="character" w:customStyle="1" w:styleId="10">
    <w:name w:val="页脚 Char1"/>
    <w:semiHidden/>
    <w:qFormat/>
    <w:locked/>
    <w:uiPriority w:val="99"/>
    <w:rPr>
      <w:rFonts w:ascii="Times New Roman" w:hAnsi="Times New Roman" w:eastAsia="宋体" w:cs="Times New Roman"/>
      <w:sz w:val="18"/>
      <w:szCs w:val="18"/>
    </w:rPr>
  </w:style>
  <w:style w:type="character" w:customStyle="1" w:styleId="11">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776</Words>
  <Characters>926</Characters>
  <Lines>6</Lines>
  <Paragraphs>1</Paragraphs>
  <TotalTime>1</TotalTime>
  <ScaleCrop>false</ScaleCrop>
  <LinksUpToDate>false</LinksUpToDate>
  <CharactersWithSpaces>960</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2020-03-13T07:54:00Z</dcterms:created>
  <dc:creator>pc</dc:creator>
  <cp:lastModifiedBy>dpp</cp:lastModifiedBy>
  <dcterms:modified xsi:type="dcterms:W3CDTF">2025-05-26T06:56:14Z</dcterms:modified>
  <dc:title>重庆市纸面石膏板产品质量监督抽查实施细则</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B45F7D7F4ACB480CB099E834413B53D5</vt:lpwstr>
  </property>
</Properties>
</file>