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方正小标宋简体" w:hAnsi="仿宋" w:eastAsia="方正小标宋简体" w:cs="方正仿宋简体"/>
          <w:b w:val="0"/>
          <w:bCs w:val="0"/>
          <w:color w:val="000000"/>
          <w:sz w:val="32"/>
          <w:szCs w:val="32"/>
        </w:rPr>
      </w:pPr>
      <w:r>
        <w:rPr>
          <w:rFonts w:hint="eastAsia" w:ascii="方正小标宋简体" w:hAnsi="仿宋" w:eastAsia="方正小标宋简体" w:cs="方正仿宋简体"/>
          <w:b w:val="0"/>
          <w:bCs w:val="0"/>
          <w:color w:val="000000"/>
          <w:sz w:val="32"/>
          <w:szCs w:val="32"/>
        </w:rPr>
        <w:t>重庆市建筑室内用腻子产品质量监督抽查实施细则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黑体" w:hAnsi="宋体" w:eastAsia="黑体"/>
          <w:color w:val="000000"/>
          <w:szCs w:val="21"/>
        </w:rPr>
      </w:pPr>
      <w:r>
        <w:rPr>
          <w:rFonts w:hint="eastAsia" w:ascii="方正小标宋简体" w:hAnsi="仿宋" w:eastAsia="方正小标宋简体" w:cs="方正仿宋简体"/>
          <w:b w:val="0"/>
          <w:bCs w:val="0"/>
          <w:color w:val="000000"/>
          <w:sz w:val="32"/>
          <w:szCs w:val="32"/>
        </w:rPr>
        <w:t>（2025年版</w:t>
      </w:r>
      <w:r>
        <w:rPr>
          <w:rFonts w:hint="eastAsia" w:ascii="方正小标宋简体" w:hAnsi="仿宋" w:eastAsia="方正小标宋简体" w:cs="方正仿宋简体"/>
          <w:b w:val="0"/>
          <w:bCs w:val="0"/>
          <w:color w:val="000000"/>
          <w:sz w:val="32"/>
          <w:szCs w:val="32"/>
          <w:lang w:eastAsia="zh-CN"/>
        </w:rPr>
        <w:t>）</w:t>
      </w: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w:t>
      </w:r>
      <w:r>
        <w:rPr>
          <w:rFonts w:hint="eastAsia" w:ascii="宋体" w:hAnsi="宋体" w:eastAsia="宋体" w:cs="宋体"/>
          <w:lang w:val="en-US" w:eastAsia="zh-CN"/>
        </w:rPr>
        <w:t>作为</w:t>
      </w:r>
      <w:r>
        <w:rPr>
          <w:rFonts w:hint="eastAsia" w:ascii="宋体" w:hAnsi="宋体" w:eastAsia="宋体" w:cs="宋体"/>
          <w:lang w:eastAsia="zh-CN"/>
        </w:rPr>
        <w:t>检验样品</w:t>
      </w:r>
      <w:r>
        <w:rPr>
          <w:rFonts w:hint="eastAsia" w:ascii="宋体" w:hAnsi="宋体" w:eastAsia="宋体" w:cs="宋体"/>
          <w:lang w:val="en-US" w:eastAsia="zh-CN"/>
        </w:rPr>
        <w:t>，1份作为备用样品（每份不小于3kg）</w:t>
      </w:r>
      <w:r>
        <w:rPr>
          <w:rFonts w:hint="eastAsia" w:ascii="宋体" w:hAnsi="宋体" w:eastAsia="宋体" w:cs="宋体"/>
        </w:rPr>
        <w:t>。</w:t>
      </w:r>
    </w:p>
    <w:p>
      <w:pPr>
        <w:snapToGrid w:val="0"/>
        <w:spacing w:line="440" w:lineRule="exact"/>
        <w:ind w:firstLine="420" w:firstLineChars="200"/>
        <w:rPr>
          <w:rFonts w:hint="eastAsia"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pacing w:line="360" w:lineRule="auto"/>
        <w:jc w:val="center"/>
        <w:rPr>
          <w:rFonts w:hint="eastAsia" w:ascii="宋体" w:hAnsi="宋体"/>
          <w:color w:val="000000" w:themeColor="text1"/>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1211"/>
        <w:gridCol w:w="2131"/>
        <w:gridCol w:w="3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342"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480"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342" w:type="dxa"/>
            <w:gridSpan w:val="2"/>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 w:val="21"/>
                <w:szCs w:val="21"/>
              </w:rPr>
              <w:t>低温贮存稳定性</w:t>
            </w:r>
            <w:r>
              <w:rPr>
                <w:rFonts w:hint="eastAsia" w:ascii="宋体" w:hAnsi="宋体"/>
                <w:b w:val="0"/>
                <w:bCs w:val="0"/>
                <w:color w:val="000000" w:themeColor="text1"/>
                <w:sz w:val="21"/>
                <w:szCs w:val="21"/>
                <w:vertAlign w:val="superscript"/>
                <w:lang w:val="en-US" w:eastAsia="zh-CN"/>
              </w:rPr>
              <w:t>注1</w:t>
            </w:r>
          </w:p>
        </w:tc>
        <w:tc>
          <w:tcPr>
            <w:tcW w:w="3480"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GB</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9268</w:t>
            </w:r>
            <w:r>
              <w:rPr>
                <w:rFonts w:hint="eastAsia" w:ascii="宋体" w:hAnsi="宋体"/>
                <w:color w:val="000000" w:themeColor="text1"/>
                <w:szCs w:val="21"/>
              </w:rPr>
              <w:t>-</w:t>
            </w:r>
            <w:r>
              <w:rPr>
                <w:rFonts w:hint="eastAsia" w:ascii="宋体" w:hAnsi="宋体"/>
                <w:color w:val="000000" w:themeColor="text1"/>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342" w:type="dxa"/>
            <w:gridSpan w:val="2"/>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eastAsia="zh-CN"/>
              </w:rPr>
              <w:t>干燥时间</w:t>
            </w:r>
          </w:p>
        </w:tc>
        <w:tc>
          <w:tcPr>
            <w:tcW w:w="3480"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GB</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1728</w:t>
            </w:r>
            <w:r>
              <w:rPr>
                <w:rFonts w:hint="eastAsia" w:ascii="宋体" w:hAnsi="宋体"/>
                <w:color w:val="000000" w:themeColor="text1"/>
                <w:szCs w:val="21"/>
              </w:rPr>
              <w:t>-</w:t>
            </w:r>
            <w:r>
              <w:rPr>
                <w:rFonts w:hint="eastAsia" w:ascii="宋体" w:hAnsi="宋体"/>
                <w:color w:val="000000" w:themeColor="text1"/>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342" w:type="dxa"/>
            <w:gridSpan w:val="2"/>
            <w:vAlign w:val="center"/>
          </w:tcPr>
          <w:p>
            <w:pPr>
              <w:snapToGrid w:val="0"/>
              <w:spacing w:line="440" w:lineRule="exact"/>
              <w:jc w:val="center"/>
              <w:rPr>
                <w:rFonts w:hint="eastAsia"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val="en-US" w:eastAsia="zh-CN"/>
              </w:rPr>
              <w:t>初期干燥抗裂性</w:t>
            </w:r>
          </w:p>
        </w:tc>
        <w:tc>
          <w:tcPr>
            <w:tcW w:w="3480"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JG/T</w:t>
            </w:r>
            <w:r>
              <w:rPr>
                <w:rFonts w:hint="eastAsia" w:ascii="宋体" w:hAnsi="宋体"/>
                <w:color w:val="000000" w:themeColor="text1"/>
                <w:szCs w:val="21"/>
              </w:rPr>
              <w:t xml:space="preserve"> </w:t>
            </w:r>
            <w:r>
              <w:rPr>
                <w:rFonts w:hint="eastAsia" w:ascii="宋体" w:hAnsi="宋体"/>
                <w:color w:val="000000" w:themeColor="text1"/>
                <w:szCs w:val="21"/>
                <w:lang w:val="en-US" w:eastAsia="zh-CN"/>
              </w:rPr>
              <w:t>24</w:t>
            </w:r>
            <w:r>
              <w:rPr>
                <w:rFonts w:hint="eastAsia" w:ascii="宋体" w:hAnsi="宋体"/>
                <w:color w:val="000000" w:themeColor="text1"/>
                <w:szCs w:val="21"/>
              </w:rPr>
              <w:t>-2</w:t>
            </w:r>
            <w:r>
              <w:rPr>
                <w:rFonts w:hint="eastAsia" w:ascii="宋体" w:hAnsi="宋体"/>
                <w:color w:val="000000" w:themeColor="text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3342" w:type="dxa"/>
            <w:gridSpan w:val="2"/>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eastAsia="zh-CN"/>
              </w:rPr>
              <w:t>耐水性</w:t>
            </w:r>
            <w:r>
              <w:rPr>
                <w:rFonts w:hint="eastAsia" w:ascii="宋体" w:hAnsi="宋体"/>
                <w:b w:val="0"/>
                <w:bCs w:val="0"/>
                <w:color w:val="000000" w:themeColor="text1"/>
                <w:sz w:val="21"/>
                <w:szCs w:val="21"/>
                <w:vertAlign w:val="superscript"/>
                <w:lang w:val="en-US" w:eastAsia="zh-CN"/>
              </w:rPr>
              <w:t>注2</w:t>
            </w:r>
          </w:p>
        </w:tc>
        <w:tc>
          <w:tcPr>
            <w:tcW w:w="3480"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GB</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159"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1211" w:type="dxa"/>
            <w:vMerge w:val="restart"/>
            <w:vAlign w:val="center"/>
          </w:tcPr>
          <w:p>
            <w:pPr>
              <w:snapToGrid w:val="0"/>
              <w:spacing w:line="440" w:lineRule="exact"/>
              <w:jc w:val="center"/>
              <w:rPr>
                <w:rFonts w:hint="eastAsia" w:ascii="宋体" w:hAnsi="宋体" w:eastAsia="宋体"/>
                <w:b w:val="0"/>
                <w:bCs w:val="0"/>
                <w:color w:val="000000" w:themeColor="text1"/>
                <w:szCs w:val="21"/>
                <w:lang w:eastAsia="zh-CN"/>
              </w:rPr>
            </w:pPr>
            <w:r>
              <w:rPr>
                <w:rFonts w:hint="eastAsia" w:ascii="宋体" w:hAnsi="宋体"/>
                <w:b w:val="0"/>
                <w:bCs w:val="0"/>
                <w:color w:val="000000" w:themeColor="text1"/>
                <w:szCs w:val="21"/>
                <w:lang w:eastAsia="zh-CN"/>
              </w:rPr>
              <w:t>粘结强度</w:t>
            </w:r>
          </w:p>
        </w:tc>
        <w:tc>
          <w:tcPr>
            <w:tcW w:w="2131" w:type="dxa"/>
            <w:vAlign w:val="center"/>
          </w:tcPr>
          <w:p>
            <w:pPr>
              <w:snapToGrid w:val="0"/>
              <w:spacing w:line="440" w:lineRule="exact"/>
              <w:jc w:val="center"/>
              <w:rPr>
                <w:rFonts w:hint="eastAsia" w:ascii="宋体" w:hAnsi="宋体"/>
                <w:b w:val="0"/>
                <w:bCs w:val="0"/>
                <w:color w:val="000000" w:themeColor="text1"/>
                <w:szCs w:val="21"/>
                <w:lang w:eastAsia="zh-CN"/>
              </w:rPr>
            </w:pPr>
            <w:r>
              <w:rPr>
                <w:rFonts w:hint="eastAsia" w:ascii="宋体" w:hAnsi="宋体"/>
                <w:b w:val="0"/>
                <w:bCs w:val="0"/>
                <w:color w:val="000000" w:themeColor="text1"/>
                <w:szCs w:val="21"/>
                <w:lang w:eastAsia="zh-CN"/>
              </w:rPr>
              <w:t>标准状态</w:t>
            </w:r>
          </w:p>
        </w:tc>
        <w:tc>
          <w:tcPr>
            <w:tcW w:w="3480"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lang w:val="en-US" w:eastAsia="zh-CN"/>
              </w:rPr>
              <w:t>JG/T</w:t>
            </w:r>
            <w:r>
              <w:rPr>
                <w:rFonts w:hint="eastAsia" w:ascii="宋体" w:hAnsi="宋体"/>
                <w:color w:val="000000" w:themeColor="text1"/>
                <w:szCs w:val="21"/>
              </w:rPr>
              <w:t xml:space="preserve"> </w:t>
            </w:r>
            <w:r>
              <w:rPr>
                <w:rFonts w:hint="eastAsia" w:ascii="宋体" w:hAnsi="宋体"/>
                <w:color w:val="000000" w:themeColor="text1"/>
                <w:szCs w:val="21"/>
                <w:lang w:val="en-US" w:eastAsia="zh-CN"/>
              </w:rPr>
              <w:t>24</w:t>
            </w:r>
            <w:r>
              <w:rPr>
                <w:rFonts w:hint="eastAsia" w:ascii="宋体" w:hAnsi="宋体"/>
                <w:color w:val="000000" w:themeColor="text1"/>
                <w:szCs w:val="21"/>
              </w:rPr>
              <w:t>-2</w:t>
            </w:r>
            <w:r>
              <w:rPr>
                <w:rFonts w:hint="eastAsia" w:ascii="宋体" w:hAnsi="宋体"/>
                <w:color w:val="000000" w:themeColor="text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Merge w:val="continue"/>
            <w:vAlign w:val="center"/>
          </w:tcPr>
          <w:p>
            <w:pPr>
              <w:snapToGrid w:val="0"/>
              <w:spacing w:line="440" w:lineRule="exact"/>
              <w:jc w:val="center"/>
              <w:rPr>
                <w:rFonts w:hint="eastAsia" w:ascii="宋体" w:hAnsi="宋体"/>
                <w:color w:val="000000" w:themeColor="text1"/>
                <w:szCs w:val="21"/>
              </w:rPr>
            </w:pPr>
          </w:p>
        </w:tc>
        <w:tc>
          <w:tcPr>
            <w:tcW w:w="1211" w:type="dxa"/>
            <w:vMerge w:val="continue"/>
            <w:vAlign w:val="center"/>
          </w:tcPr>
          <w:p>
            <w:pPr>
              <w:snapToGrid w:val="0"/>
              <w:spacing w:line="440" w:lineRule="exact"/>
              <w:jc w:val="center"/>
              <w:rPr>
                <w:rFonts w:hint="eastAsia" w:ascii="宋体" w:hAnsi="宋体"/>
                <w:b w:val="0"/>
                <w:bCs w:val="0"/>
                <w:color w:val="000000" w:themeColor="text1"/>
                <w:szCs w:val="21"/>
                <w:lang w:eastAsia="zh-CN"/>
              </w:rPr>
            </w:pPr>
          </w:p>
        </w:tc>
        <w:tc>
          <w:tcPr>
            <w:tcW w:w="2131" w:type="dxa"/>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eastAsia="zh-CN"/>
              </w:rPr>
              <w:t>浸水后</w:t>
            </w:r>
            <w:r>
              <w:rPr>
                <w:rFonts w:hint="eastAsia" w:ascii="宋体" w:hAnsi="宋体"/>
                <w:b w:val="0"/>
                <w:bCs w:val="0"/>
                <w:color w:val="000000" w:themeColor="text1"/>
                <w:sz w:val="21"/>
                <w:szCs w:val="21"/>
                <w:vertAlign w:val="superscript"/>
                <w:lang w:val="en-US" w:eastAsia="zh-CN"/>
              </w:rPr>
              <w:t>注3</w:t>
            </w:r>
          </w:p>
        </w:tc>
        <w:tc>
          <w:tcPr>
            <w:tcW w:w="3480" w:type="dxa"/>
            <w:vAlign w:val="center"/>
          </w:tcPr>
          <w:p>
            <w:pPr>
              <w:snapToGrid w:val="0"/>
              <w:spacing w:line="440" w:lineRule="exact"/>
              <w:jc w:val="center"/>
              <w:rPr>
                <w:rFonts w:hint="eastAsia" w:ascii="宋体" w:hAnsi="宋体"/>
                <w:color w:val="000000" w:themeColor="text1"/>
                <w:szCs w:val="21"/>
              </w:rPr>
            </w:pPr>
            <w:r>
              <w:rPr>
                <w:rFonts w:hint="eastAsia" w:ascii="宋体" w:hAnsi="宋体"/>
                <w:color w:val="000000" w:themeColor="text1"/>
                <w:szCs w:val="21"/>
                <w:lang w:val="en-US" w:eastAsia="zh-CN"/>
              </w:rPr>
              <w:t>JG/T</w:t>
            </w:r>
            <w:r>
              <w:rPr>
                <w:rFonts w:hint="eastAsia" w:ascii="宋体" w:hAnsi="宋体"/>
                <w:color w:val="000000" w:themeColor="text1"/>
                <w:szCs w:val="21"/>
              </w:rPr>
              <w:t xml:space="preserve"> </w:t>
            </w:r>
            <w:r>
              <w:rPr>
                <w:rFonts w:hint="eastAsia" w:ascii="宋体" w:hAnsi="宋体"/>
                <w:color w:val="000000" w:themeColor="text1"/>
                <w:szCs w:val="21"/>
                <w:lang w:val="en-US" w:eastAsia="zh-CN"/>
              </w:rPr>
              <w:t>24</w:t>
            </w:r>
            <w:r>
              <w:rPr>
                <w:rFonts w:hint="eastAsia" w:ascii="宋体" w:hAnsi="宋体"/>
                <w:color w:val="000000" w:themeColor="text1"/>
                <w:szCs w:val="21"/>
              </w:rPr>
              <w:t>-2</w:t>
            </w:r>
            <w:r>
              <w:rPr>
                <w:rFonts w:hint="eastAsia" w:ascii="宋体" w:hAnsi="宋体"/>
                <w:color w:val="000000" w:themeColor="text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6</w:t>
            </w:r>
          </w:p>
        </w:tc>
        <w:tc>
          <w:tcPr>
            <w:tcW w:w="3342" w:type="dxa"/>
            <w:gridSpan w:val="2"/>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val="en-US" w:eastAsia="zh-CN"/>
              </w:rPr>
              <w:t>柔韧性</w:t>
            </w:r>
            <w:r>
              <w:rPr>
                <w:rFonts w:hint="eastAsia" w:ascii="宋体" w:hAnsi="宋体"/>
                <w:b w:val="0"/>
                <w:bCs w:val="0"/>
                <w:color w:val="000000" w:themeColor="text1"/>
                <w:sz w:val="21"/>
                <w:szCs w:val="21"/>
                <w:vertAlign w:val="superscript"/>
                <w:lang w:val="en-US" w:eastAsia="zh-CN"/>
              </w:rPr>
              <w:t>注4</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JG</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298</w:t>
            </w:r>
            <w:r>
              <w:rPr>
                <w:rFonts w:hint="eastAsia" w:ascii="宋体" w:hAnsi="宋体"/>
                <w:color w:val="000000" w:themeColor="text1"/>
                <w:szCs w:val="21"/>
              </w:rPr>
              <w:t>-</w:t>
            </w:r>
            <w:r>
              <w:rPr>
                <w:rFonts w:hint="eastAsia" w:ascii="宋体" w:hAnsi="宋体"/>
                <w:color w:val="000000" w:themeColor="text1"/>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7</w:t>
            </w:r>
          </w:p>
        </w:tc>
        <w:tc>
          <w:tcPr>
            <w:tcW w:w="3342" w:type="dxa"/>
            <w:gridSpan w:val="2"/>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pH值</w:t>
            </w:r>
            <w:bookmarkStart w:id="0" w:name="_GoBack"/>
            <w:bookmarkEnd w:id="0"/>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JG</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298</w:t>
            </w:r>
            <w:r>
              <w:rPr>
                <w:rFonts w:hint="eastAsia" w:ascii="宋体" w:hAnsi="宋体"/>
                <w:color w:val="000000" w:themeColor="text1"/>
                <w:szCs w:val="21"/>
              </w:rPr>
              <w:t>-</w:t>
            </w:r>
            <w:r>
              <w:rPr>
                <w:rFonts w:hint="eastAsia" w:ascii="宋体" w:hAnsi="宋体"/>
                <w:color w:val="000000" w:themeColor="text1"/>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8</w:t>
            </w:r>
          </w:p>
        </w:tc>
        <w:tc>
          <w:tcPr>
            <w:tcW w:w="3342" w:type="dxa"/>
            <w:gridSpan w:val="2"/>
            <w:vAlign w:val="center"/>
          </w:tcPr>
          <w:p>
            <w:pPr>
              <w:snapToGrid w:val="0"/>
              <w:spacing w:line="240" w:lineRule="auto"/>
              <w:jc w:val="center"/>
              <w:rPr>
                <w:rFonts w:hint="default" w:ascii="宋体" w:hAnsi="宋体" w:eastAsia="宋体"/>
                <w:sz w:val="21"/>
                <w:szCs w:val="21"/>
                <w:lang w:val="en-US" w:eastAsia="zh-CN"/>
              </w:rPr>
            </w:pPr>
            <w:r>
              <w:rPr>
                <w:rFonts w:hint="eastAsia" w:ascii="宋体" w:hAnsi="宋体"/>
                <w:sz w:val="21"/>
                <w:szCs w:val="21"/>
                <w:lang w:val="en-US" w:eastAsia="zh-CN"/>
              </w:rPr>
              <w:t>VOC含量</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9</w:t>
            </w:r>
          </w:p>
        </w:tc>
        <w:tc>
          <w:tcPr>
            <w:tcW w:w="3342" w:type="dxa"/>
            <w:gridSpan w:val="2"/>
            <w:vAlign w:val="center"/>
          </w:tcPr>
          <w:p>
            <w:pPr>
              <w:jc w:val="center"/>
              <w:rPr>
                <w:rFonts w:hint="eastAsia" w:ascii="宋体" w:hAnsi="宋体" w:eastAsia="宋体"/>
                <w:sz w:val="21"/>
                <w:szCs w:val="21"/>
                <w:lang w:eastAsia="zh-CN"/>
              </w:rPr>
            </w:pPr>
            <w:r>
              <w:rPr>
                <w:rFonts w:hint="eastAsia" w:ascii="宋体" w:hAnsi="宋体"/>
                <w:szCs w:val="21"/>
              </w:rPr>
              <w:t>甲醛含量</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10</w:t>
            </w:r>
          </w:p>
        </w:tc>
        <w:tc>
          <w:tcPr>
            <w:tcW w:w="3342" w:type="dxa"/>
            <w:gridSpan w:val="2"/>
            <w:vAlign w:val="center"/>
          </w:tcPr>
          <w:p>
            <w:pPr>
              <w:jc w:val="center"/>
              <w:rPr>
                <w:rFonts w:hint="eastAsia" w:ascii="宋体" w:hAnsi="宋体"/>
                <w:szCs w:val="21"/>
              </w:rPr>
            </w:pPr>
            <w:r>
              <w:rPr>
                <w:rFonts w:hint="eastAsia" w:ascii="宋体" w:hAnsi="宋体"/>
                <w:szCs w:val="21"/>
              </w:rPr>
              <w:t>苯系物总和含量</w:t>
            </w:r>
          </w:p>
          <w:p>
            <w:pPr>
              <w:jc w:val="center"/>
              <w:rPr>
                <w:rFonts w:hint="eastAsia" w:ascii="宋体" w:hAnsi="宋体" w:eastAsia="宋体"/>
                <w:sz w:val="21"/>
                <w:szCs w:val="21"/>
                <w:lang w:eastAsia="zh-CN"/>
              </w:rPr>
            </w:pPr>
            <w:r>
              <w:rPr>
                <w:rFonts w:hint="eastAsia" w:ascii="宋体" w:hAnsi="宋体"/>
                <w:szCs w:val="21"/>
                <w:lang w:val="en-US" w:eastAsia="zh-CN"/>
              </w:rPr>
              <w:t>[限苯、甲苯、二甲苯(含乙苯)]</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11</w:t>
            </w:r>
          </w:p>
        </w:tc>
        <w:tc>
          <w:tcPr>
            <w:tcW w:w="3342" w:type="dxa"/>
            <w:gridSpan w:val="2"/>
            <w:vAlign w:val="center"/>
          </w:tcPr>
          <w:p>
            <w:pPr>
              <w:jc w:val="center"/>
              <w:rPr>
                <w:rFonts w:hint="eastAsia" w:ascii="宋体" w:hAnsi="宋体"/>
                <w:szCs w:val="21"/>
              </w:rPr>
            </w:pPr>
            <w:r>
              <w:rPr>
                <w:rFonts w:hint="eastAsia" w:ascii="宋体" w:hAnsi="宋体"/>
                <w:szCs w:val="21"/>
              </w:rPr>
              <w:t>总铅(Pb)含量</w:t>
            </w:r>
          </w:p>
          <w:p>
            <w:pPr>
              <w:jc w:val="center"/>
              <w:rPr>
                <w:rFonts w:hint="eastAsia" w:ascii="宋体" w:hAnsi="宋体" w:eastAsia="宋体"/>
                <w:sz w:val="21"/>
                <w:szCs w:val="21"/>
                <w:lang w:val="en-US" w:eastAsia="zh-CN"/>
              </w:rPr>
            </w:pPr>
            <w:r>
              <w:rPr>
                <w:rFonts w:hint="eastAsia" w:ascii="宋体" w:hAnsi="宋体"/>
                <w:szCs w:val="21"/>
                <w:lang w:val="en-US" w:eastAsia="zh-CN"/>
              </w:rPr>
              <w:t>[限色漆和腻子]</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12</w:t>
            </w:r>
          </w:p>
        </w:tc>
        <w:tc>
          <w:tcPr>
            <w:tcW w:w="3342" w:type="dxa"/>
            <w:gridSpan w:val="2"/>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default" w:ascii="宋体" w:hAnsi="宋体" w:eastAsia="宋体"/>
                <w:sz w:val="21"/>
                <w:szCs w:val="21"/>
                <w:lang w:val="en-US" w:eastAsia="zh-CN"/>
              </w:rPr>
            </w:pPr>
            <w:r>
              <w:rPr>
                <w:rFonts w:hint="eastAsia" w:ascii="宋体" w:hAnsi="宋体"/>
                <w:szCs w:val="21"/>
                <w:lang w:val="en-US" w:eastAsia="zh-CN"/>
              </w:rPr>
              <w:t>[限色漆和腻子]</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981"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备注：1、序号1仅适用于液态组分或膏状组分；</w:t>
            </w:r>
          </w:p>
          <w:p>
            <w:pPr>
              <w:keepNext w:val="0"/>
              <w:keepLines w:val="0"/>
              <w:pageBreakBefore w:val="0"/>
              <w:widowControl w:val="0"/>
              <w:kinsoku/>
              <w:wordWrap/>
              <w:overflowPunct/>
              <w:topLinePunct w:val="0"/>
              <w:autoSpaceDE/>
              <w:autoSpaceDN/>
              <w:bidi w:val="0"/>
              <w:adjustRightInd/>
              <w:snapToGrid w:val="0"/>
              <w:spacing w:line="240" w:lineRule="auto"/>
              <w:ind w:firstLine="630" w:firstLineChars="300"/>
              <w:jc w:val="both"/>
              <w:textAlignment w:val="auto"/>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2、序号4仅适用于耐水型和柔韧型；</w:t>
            </w:r>
          </w:p>
          <w:p>
            <w:pPr>
              <w:keepNext w:val="0"/>
              <w:keepLines w:val="0"/>
              <w:pageBreakBefore w:val="0"/>
              <w:widowControl w:val="0"/>
              <w:kinsoku/>
              <w:wordWrap/>
              <w:overflowPunct/>
              <w:topLinePunct w:val="0"/>
              <w:autoSpaceDE/>
              <w:autoSpaceDN/>
              <w:bidi w:val="0"/>
              <w:adjustRightInd/>
              <w:snapToGrid w:val="0"/>
              <w:spacing w:line="240" w:lineRule="auto"/>
              <w:ind w:firstLine="630" w:firstLineChars="300"/>
              <w:jc w:val="both"/>
              <w:textAlignment w:val="auto"/>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3、序号5中的粘结强度（浸水后）仅适用于耐水型；</w:t>
            </w:r>
          </w:p>
          <w:p>
            <w:pPr>
              <w:keepNext w:val="0"/>
              <w:keepLines w:val="0"/>
              <w:pageBreakBefore w:val="0"/>
              <w:widowControl w:val="0"/>
              <w:kinsoku/>
              <w:wordWrap/>
              <w:overflowPunct/>
              <w:topLinePunct w:val="0"/>
              <w:autoSpaceDE/>
              <w:autoSpaceDN/>
              <w:bidi w:val="0"/>
              <w:adjustRightInd/>
              <w:snapToGrid w:val="0"/>
              <w:spacing w:line="240" w:lineRule="auto"/>
              <w:ind w:firstLine="630" w:firstLineChars="300"/>
              <w:jc w:val="both"/>
              <w:textAlignment w:val="auto"/>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4、序号6仅适用于柔韧型。</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pacing w:line="360" w:lineRule="auto"/>
        <w:jc w:val="both"/>
        <w:rPr>
          <w:rFonts w:hint="eastAsia" w:ascii="宋体" w:hAnsi="宋体"/>
          <w:color w:val="000000" w:themeColor="text1"/>
          <w:szCs w:val="21"/>
          <w:lang w:val="en-US" w:eastAsia="zh-CN"/>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GB 18582-2020 建筑用墙面涂料中有害物质限量</w:t>
      </w:r>
    </w:p>
    <w:p>
      <w:pPr>
        <w:snapToGrid w:val="0"/>
        <w:spacing w:line="440" w:lineRule="exact"/>
        <w:ind w:firstLine="420" w:firstLineChars="200"/>
        <w:rPr>
          <w:rFonts w:hint="eastAsia" w:ascii="宋体" w:hAnsi="宋体"/>
          <w:color w:val="000000"/>
          <w:szCs w:val="21"/>
          <w:lang w:eastAsia="zh-CN"/>
        </w:rPr>
      </w:pPr>
      <w:r>
        <w:rPr>
          <w:rFonts w:hint="eastAsia" w:ascii="宋体" w:hAnsi="宋体"/>
          <w:color w:val="000000"/>
          <w:szCs w:val="21"/>
          <w:lang w:val="en-US" w:eastAsia="zh-CN"/>
        </w:rPr>
        <w:t>JG/T 298</w:t>
      </w:r>
      <w:r>
        <w:rPr>
          <w:rFonts w:hint="eastAsia" w:ascii="宋体" w:hAnsi="宋体"/>
          <w:color w:val="000000"/>
          <w:szCs w:val="21"/>
        </w:rPr>
        <w:t>-20</w:t>
      </w:r>
      <w:r>
        <w:rPr>
          <w:rFonts w:hint="eastAsia" w:ascii="宋体" w:hAnsi="宋体"/>
          <w:color w:val="000000"/>
          <w:szCs w:val="21"/>
          <w:lang w:val="en-US" w:eastAsia="zh-CN"/>
        </w:rPr>
        <w:t>10</w:t>
      </w:r>
      <w:r>
        <w:rPr>
          <w:rFonts w:hint="eastAsia" w:ascii="宋体" w:hAnsi="宋体"/>
          <w:color w:val="000000"/>
          <w:szCs w:val="21"/>
        </w:rPr>
        <w:t xml:space="preserve"> </w:t>
      </w:r>
      <w:r>
        <w:rPr>
          <w:rFonts w:hint="eastAsia" w:ascii="宋体" w:hAnsi="宋体"/>
          <w:color w:val="000000"/>
          <w:szCs w:val="21"/>
          <w:lang w:eastAsia="zh-CN"/>
        </w:rPr>
        <w:t>建筑室内用腻子</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Y4MDQwYjZkNGU3ZWQyYzI4MzBlYjRhMmQ1Zjg2MDAifQ=="/>
  </w:docVars>
  <w:rsids>
    <w:rsidRoot w:val="004E1C1B"/>
    <w:rsid w:val="00063497"/>
    <w:rsid w:val="00093590"/>
    <w:rsid w:val="000F6EA4"/>
    <w:rsid w:val="00207947"/>
    <w:rsid w:val="00294840"/>
    <w:rsid w:val="002E523C"/>
    <w:rsid w:val="003A113D"/>
    <w:rsid w:val="004E1AD2"/>
    <w:rsid w:val="004E1C1B"/>
    <w:rsid w:val="00593837"/>
    <w:rsid w:val="00600167"/>
    <w:rsid w:val="00605616"/>
    <w:rsid w:val="0064396E"/>
    <w:rsid w:val="00683C3C"/>
    <w:rsid w:val="006E7112"/>
    <w:rsid w:val="00787D84"/>
    <w:rsid w:val="00882B8A"/>
    <w:rsid w:val="0092324A"/>
    <w:rsid w:val="00953298"/>
    <w:rsid w:val="00A472C3"/>
    <w:rsid w:val="00B05C10"/>
    <w:rsid w:val="00B426B1"/>
    <w:rsid w:val="00C81E85"/>
    <w:rsid w:val="00DD5955"/>
    <w:rsid w:val="00EA5F26"/>
    <w:rsid w:val="00EB1677"/>
    <w:rsid w:val="01433CE6"/>
    <w:rsid w:val="038D0904"/>
    <w:rsid w:val="05CA07AD"/>
    <w:rsid w:val="06E82128"/>
    <w:rsid w:val="072D11D3"/>
    <w:rsid w:val="09EF6662"/>
    <w:rsid w:val="0ABF6594"/>
    <w:rsid w:val="0B7537FE"/>
    <w:rsid w:val="0D0A2441"/>
    <w:rsid w:val="0E593F9E"/>
    <w:rsid w:val="0EF77C49"/>
    <w:rsid w:val="12E2027F"/>
    <w:rsid w:val="190C64ED"/>
    <w:rsid w:val="1B1B0B58"/>
    <w:rsid w:val="1D900D1C"/>
    <w:rsid w:val="21547033"/>
    <w:rsid w:val="254E4396"/>
    <w:rsid w:val="263128AC"/>
    <w:rsid w:val="268E1997"/>
    <w:rsid w:val="27CD64DD"/>
    <w:rsid w:val="283707FE"/>
    <w:rsid w:val="2BA471CC"/>
    <w:rsid w:val="32CD34C3"/>
    <w:rsid w:val="358C349D"/>
    <w:rsid w:val="3847353A"/>
    <w:rsid w:val="3C561893"/>
    <w:rsid w:val="3CC8441F"/>
    <w:rsid w:val="3D454181"/>
    <w:rsid w:val="3D9540D0"/>
    <w:rsid w:val="3F935371"/>
    <w:rsid w:val="3FE9647D"/>
    <w:rsid w:val="401E2337"/>
    <w:rsid w:val="4282653C"/>
    <w:rsid w:val="44D36FE4"/>
    <w:rsid w:val="4A09015E"/>
    <w:rsid w:val="4B9D2D48"/>
    <w:rsid w:val="4BC44FB1"/>
    <w:rsid w:val="4E0307B9"/>
    <w:rsid w:val="556965EE"/>
    <w:rsid w:val="58484A6E"/>
    <w:rsid w:val="5DA60FF6"/>
    <w:rsid w:val="60D62186"/>
    <w:rsid w:val="640C2D8D"/>
    <w:rsid w:val="64311F6B"/>
    <w:rsid w:val="660D43F8"/>
    <w:rsid w:val="6B93719C"/>
    <w:rsid w:val="6BB867F1"/>
    <w:rsid w:val="6F1A785D"/>
    <w:rsid w:val="77F74BAE"/>
    <w:rsid w:val="79290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7">
    <w:name w:val="page number"/>
    <w:basedOn w:val="6"/>
    <w:qFormat/>
    <w:uiPriority w:val="0"/>
  </w:style>
  <w:style w:type="character" w:customStyle="1" w:styleId="8">
    <w:name w:val="页脚 Char"/>
    <w:basedOn w:val="6"/>
    <w:link w:val="2"/>
    <w:qFormat/>
    <w:uiPriority w:val="99"/>
    <w:rPr>
      <w:sz w:val="18"/>
      <w:szCs w:val="18"/>
    </w:rPr>
  </w:style>
  <w:style w:type="character" w:customStyle="1" w:styleId="9">
    <w:name w:val="页眉 Char"/>
    <w:basedOn w:val="6"/>
    <w:link w:val="3"/>
    <w:qFormat/>
    <w:uiPriority w:val="99"/>
    <w:rPr>
      <w:sz w:val="18"/>
      <w:szCs w:val="18"/>
    </w:rPr>
  </w:style>
  <w:style w:type="character" w:customStyle="1" w:styleId="10">
    <w:name w:val="页脚 Char1"/>
    <w:basedOn w:val="6"/>
    <w:link w:val="2"/>
    <w:semiHidden/>
    <w:qFormat/>
    <w:uiPriority w:val="99"/>
    <w:rPr>
      <w:rFonts w:ascii="Times New Roman" w:hAnsi="Times New Roman" w:eastAsia="宋体" w:cs="Times New Roman"/>
      <w:sz w:val="18"/>
      <w:szCs w:val="18"/>
    </w:rPr>
  </w:style>
  <w:style w:type="character" w:customStyle="1" w:styleId="11">
    <w:name w:val="页眉 Char1"/>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163</Words>
  <Characters>935</Characters>
  <Lines>7</Lines>
  <Paragraphs>2</Paragraphs>
  <TotalTime>0</TotalTime>
  <ScaleCrop>false</ScaleCrop>
  <LinksUpToDate>false</LinksUpToDate>
  <CharactersWithSpaces>1096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刘志伟</cp:lastModifiedBy>
  <dcterms:modified xsi:type="dcterms:W3CDTF">2025-06-20T09:40:57Z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472D239013B347388AAB54AD6BF3D1C0</vt:lpwstr>
  </property>
</Properties>
</file>