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eastAsia="方正小标宋简体" w:cs="方正仿宋简体"/>
          <w:color w:val="000000"/>
          <w:sz w:val="32"/>
          <w:szCs w:val="32"/>
        </w:rPr>
      </w:pPr>
      <w:bookmarkStart w:id="4" w:name="_GoBack"/>
      <w:bookmarkEnd w:id="4"/>
      <w:bookmarkStart w:id="0" w:name="_Hlk102659035"/>
      <w:bookmarkStart w:id="1" w:name="OLE_LINK1"/>
      <w:r>
        <w:rPr>
          <w:rFonts w:hint="eastAsia" w:eastAsia="方正小标宋简体" w:cs="方正仿宋简体"/>
          <w:color w:val="000000"/>
          <w:sz w:val="32"/>
          <w:szCs w:val="32"/>
          <w:lang w:val="en-US" w:eastAsia="zh-CN"/>
        </w:rPr>
        <w:t>重庆市一次性可降解餐饮具</w:t>
      </w:r>
      <w:r>
        <w:rPr>
          <w:rFonts w:hint="eastAsia" w:eastAsia="方正小标宋简体" w:cs="方正仿宋简体"/>
          <w:color w:val="000000"/>
          <w:sz w:val="32"/>
          <w:szCs w:val="32"/>
        </w:rPr>
        <w:t>产品质量监督抽查实施细则</w:t>
      </w:r>
    </w:p>
    <w:p>
      <w:pPr>
        <w:adjustRightInd w:val="0"/>
        <w:snapToGrid w:val="0"/>
        <w:spacing w:line="594" w:lineRule="exact"/>
        <w:jc w:val="center"/>
        <w:rPr>
          <w:rFonts w:eastAsia="方正小标宋简体" w:cs="方正仿宋简体"/>
          <w:color w:val="000000"/>
          <w:sz w:val="32"/>
          <w:szCs w:val="32"/>
        </w:rPr>
      </w:pPr>
      <w:r>
        <w:rPr>
          <w:rFonts w:hint="eastAsia" w:eastAsia="方正小标宋简体" w:cs="方正仿宋简体"/>
          <w:color w:val="000000"/>
          <w:sz w:val="32"/>
          <w:szCs w:val="32"/>
          <w:lang w:eastAsia="zh-CN"/>
        </w:rPr>
        <w:t>（</w:t>
      </w:r>
      <w:r>
        <w:rPr>
          <w:rFonts w:hint="eastAsia" w:eastAsia="方正小标宋简体" w:cs="方正仿宋简体"/>
          <w:color w:val="000000"/>
          <w:sz w:val="32"/>
          <w:szCs w:val="32"/>
          <w:lang w:val="en-US" w:eastAsia="zh-CN"/>
        </w:rPr>
        <w:t>2025年版）</w:t>
      </w:r>
      <w:bookmarkEnd w:id="0"/>
    </w:p>
    <w:bookmarkEnd w:id="1"/>
    <w:p>
      <w:pPr>
        <w:adjustRightInd/>
        <w:snapToGrid/>
        <w:spacing w:line="440" w:lineRule="exact"/>
        <w:jc w:val="center"/>
        <w:rPr>
          <w:rFonts w:eastAsia="方正小标宋简体" w:cs="方正仿宋简体"/>
          <w:color w:val="000000"/>
          <w:sz w:val="32"/>
          <w:szCs w:val="32"/>
        </w:rPr>
      </w:pPr>
    </w:p>
    <w:p>
      <w:pPr>
        <w:adjustRightInd w:val="0"/>
        <w:snapToGrid w:val="0"/>
        <w:spacing w:line="440" w:lineRule="exact"/>
        <w:outlineLvl w:val="1"/>
        <w:rPr>
          <w:rFonts w:eastAsia="黑体" w:cs="黑体"/>
          <w:szCs w:val="21"/>
        </w:rPr>
      </w:pPr>
      <w:r>
        <w:rPr>
          <w:rFonts w:hint="eastAsia" w:eastAsia="黑体" w:cs="黑体"/>
          <w:szCs w:val="21"/>
        </w:rPr>
        <w:t>1 抽样方法</w:t>
      </w:r>
    </w:p>
    <w:p>
      <w:pPr>
        <w:adjustRightInd w:val="0"/>
        <w:snapToGrid w:val="0"/>
        <w:spacing w:before="0" w:beforeLines="-2147483648" w:line="440" w:lineRule="exact"/>
        <w:ind w:firstLine="420" w:firstLineChars="200"/>
        <w:rPr>
          <w:rFonts w:ascii="Times New Roman" w:hAnsi="Times New Roman" w:cs="Times New Roman"/>
          <w:szCs w:val="21"/>
        </w:rPr>
      </w:pPr>
      <w:r>
        <w:rPr>
          <w:rFonts w:hint="default" w:ascii="Times New Roman" w:hAnsi="Times New Roman" w:cs="Times New Roman"/>
          <w:szCs w:val="21"/>
        </w:rPr>
        <w:t>以随机抽样的方式在被抽样生产者、销售者的待销产品中抽取。</w:t>
      </w:r>
    </w:p>
    <w:p>
      <w:pPr>
        <w:adjustRightInd w:val="0"/>
        <w:snapToGrid w:val="0"/>
        <w:spacing w:before="0" w:beforeLines="-2147483648" w:line="440" w:lineRule="exact"/>
        <w:ind w:firstLine="420" w:firstLineChars="200"/>
        <w:outlineLvl w:val="9"/>
        <w:rPr>
          <w:szCs w:val="21"/>
        </w:rPr>
      </w:pPr>
      <w:r>
        <w:rPr>
          <w:rFonts w:hint="eastAsia"/>
          <w:szCs w:val="21"/>
        </w:rPr>
        <w:t>随机数一般可使用随机数表等方法产生。</w:t>
      </w:r>
    </w:p>
    <w:p>
      <w:pPr>
        <w:adjustRightInd w:val="0"/>
        <w:snapToGrid w:val="0"/>
        <w:spacing w:before="0" w:beforeLines="-2147483648" w:line="440" w:lineRule="exact"/>
        <w:ind w:firstLine="420" w:firstLineChars="200"/>
        <w:rPr>
          <w:szCs w:val="21"/>
        </w:rPr>
      </w:pPr>
      <w:r>
        <w:rPr>
          <w:szCs w:val="21"/>
        </w:rPr>
        <w:t>每批次产品抽取不少于3份最小销售独立包装，每份样品抽样数量不少于</w:t>
      </w:r>
      <w:r>
        <w:rPr>
          <w:rFonts w:hint="default"/>
          <w:szCs w:val="21"/>
          <w:lang w:val="en-US" w:eastAsia="zh-CN"/>
        </w:rPr>
        <w:t>3</w:t>
      </w:r>
      <w:r>
        <w:rPr>
          <w:rFonts w:hint="eastAsia"/>
          <w:szCs w:val="21"/>
        </w:rPr>
        <w:t>0</w:t>
      </w:r>
      <w:r>
        <w:rPr>
          <w:szCs w:val="21"/>
        </w:rPr>
        <w:t>只</w:t>
      </w:r>
      <w:r>
        <w:rPr>
          <w:rFonts w:hint="eastAsia"/>
          <w:szCs w:val="21"/>
        </w:rPr>
        <w:t>/</w:t>
      </w:r>
      <w:r>
        <w:rPr>
          <w:szCs w:val="21"/>
        </w:rPr>
        <w:t>个，其中2份作为检验样品，1份作为备用样品。每份样品质量应不少于100</w:t>
      </w:r>
      <w:r>
        <w:rPr>
          <w:rFonts w:hint="default"/>
          <w:szCs w:val="21"/>
          <w:lang w:val="en-US" w:eastAsia="zh-CN"/>
        </w:rPr>
        <w:t xml:space="preserve"> </w:t>
      </w:r>
      <w:r>
        <w:rPr>
          <w:szCs w:val="21"/>
        </w:rPr>
        <w:t>g且与食品接触面的最小表面积应不小于10</w:t>
      </w:r>
      <w:r>
        <w:rPr>
          <w:rFonts w:hint="default"/>
          <w:szCs w:val="21"/>
          <w:lang w:val="en-US" w:eastAsia="zh-CN"/>
        </w:rPr>
        <w:t xml:space="preserve"> </w:t>
      </w:r>
      <w:r>
        <w:rPr>
          <w:szCs w:val="21"/>
        </w:rPr>
        <w:t>dm</w:t>
      </w:r>
      <w:r>
        <w:rPr>
          <w:szCs w:val="21"/>
          <w:vertAlign w:val="baseline"/>
        </w:rPr>
        <w:t>2</w:t>
      </w:r>
      <w:r>
        <w:rPr>
          <w:szCs w:val="21"/>
        </w:rPr>
        <w:t>（若最小销售包装不是</w:t>
      </w:r>
      <w:r>
        <w:rPr>
          <w:rFonts w:hint="default"/>
          <w:szCs w:val="21"/>
          <w:lang w:val="en-US" w:eastAsia="zh-CN"/>
        </w:rPr>
        <w:t>3</w:t>
      </w:r>
      <w:r>
        <w:rPr>
          <w:szCs w:val="21"/>
        </w:rPr>
        <w:t>0只</w:t>
      </w:r>
      <w:r>
        <w:rPr>
          <w:rFonts w:hint="eastAsia"/>
          <w:szCs w:val="21"/>
        </w:rPr>
        <w:t>/</w:t>
      </w:r>
      <w:r>
        <w:rPr>
          <w:szCs w:val="21"/>
        </w:rPr>
        <w:t>个的整数倍，需按采样数折算，保证检样不少于</w:t>
      </w:r>
      <w:r>
        <w:rPr>
          <w:rFonts w:hint="default"/>
          <w:szCs w:val="21"/>
          <w:lang w:val="en-US" w:eastAsia="zh-CN"/>
        </w:rPr>
        <w:t>6</w:t>
      </w:r>
      <w:r>
        <w:rPr>
          <w:szCs w:val="21"/>
        </w:rPr>
        <w:t>0只</w:t>
      </w:r>
      <w:r>
        <w:rPr>
          <w:rFonts w:hint="eastAsia"/>
          <w:szCs w:val="21"/>
        </w:rPr>
        <w:t>/</w:t>
      </w:r>
      <w:r>
        <w:rPr>
          <w:szCs w:val="21"/>
        </w:rPr>
        <w:t>个，备样不少于</w:t>
      </w:r>
      <w:r>
        <w:rPr>
          <w:rFonts w:hint="default"/>
          <w:szCs w:val="21"/>
          <w:lang w:val="en-US" w:eastAsia="zh-CN"/>
        </w:rPr>
        <w:t>3</w:t>
      </w:r>
      <w:r>
        <w:rPr>
          <w:szCs w:val="21"/>
        </w:rPr>
        <w:t>0只</w:t>
      </w:r>
      <w:r>
        <w:rPr>
          <w:rFonts w:hint="eastAsia"/>
          <w:szCs w:val="21"/>
        </w:rPr>
        <w:t>/</w:t>
      </w:r>
      <w:r>
        <w:rPr>
          <w:szCs w:val="21"/>
        </w:rPr>
        <w:t>个，避免损坏原包装）</w:t>
      </w:r>
      <w:r>
        <w:rPr>
          <w:rFonts w:hint="eastAsia"/>
          <w:szCs w:val="21"/>
        </w:rPr>
        <w:t>。</w:t>
      </w:r>
    </w:p>
    <w:p>
      <w:pPr>
        <w:snapToGrid w:val="0"/>
        <w:spacing w:line="360" w:lineRule="auto"/>
        <w:ind w:firstLine="420" w:firstLineChars="200"/>
        <w:rPr>
          <w:szCs w:val="21"/>
        </w:rPr>
      </w:pPr>
    </w:p>
    <w:p>
      <w:pPr>
        <w:adjustRightInd w:val="0"/>
        <w:snapToGrid w:val="0"/>
        <w:spacing w:line="440" w:lineRule="exact"/>
        <w:outlineLvl w:val="1"/>
        <w:rPr>
          <w:rFonts w:eastAsia="黑体" w:cs="黑体"/>
          <w:szCs w:val="21"/>
        </w:rPr>
      </w:pPr>
      <w:r>
        <w:rPr>
          <w:rFonts w:hint="eastAsia" w:eastAsia="黑体" w:cs="黑体"/>
          <w:szCs w:val="21"/>
        </w:rPr>
        <w:t>2 检验依据</w:t>
      </w:r>
    </w:p>
    <w:p>
      <w:pPr>
        <w:adjustRightInd w:val="0"/>
        <w:snapToGrid w:val="0"/>
        <w:jc w:val="center"/>
        <w:rPr>
          <w:rFonts w:cs="宋体"/>
          <w:szCs w:val="21"/>
        </w:rPr>
      </w:pPr>
    </w:p>
    <w:tbl>
      <w:tblPr>
        <w:tblStyle w:val="8"/>
        <w:tblW w:w="48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85"/>
        <w:gridCol w:w="3445"/>
        <w:gridCol w:w="3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230" w:type="pct"/>
            <w:vAlign w:val="center"/>
          </w:tcPr>
          <w:p>
            <w:pPr>
              <w:keepNext w:val="0"/>
              <w:keepLines w:val="0"/>
              <w:suppressLineNumbers w:val="0"/>
              <w:snapToGrid w:val="0"/>
              <w:spacing w:before="0" w:beforeAutospacing="0" w:after="0" w:afterAutospacing="0" w:line="440" w:lineRule="exact"/>
              <w:ind w:left="0" w:right="0"/>
              <w:jc w:val="center"/>
              <w:rPr>
                <w:rFonts w:hint="default"/>
                <w:color w:val="000000"/>
                <w:szCs w:val="21"/>
              </w:rPr>
            </w:pPr>
            <w:bookmarkStart w:id="2" w:name="OLE_LINK2"/>
            <w:bookmarkStart w:id="3" w:name="_Hlk40347690"/>
            <w:r>
              <w:rPr>
                <w:rFonts w:hint="eastAsia"/>
                <w:color w:val="000000"/>
                <w:szCs w:val="21"/>
              </w:rPr>
              <w:t>序号</w:t>
            </w:r>
          </w:p>
        </w:tc>
        <w:tc>
          <w:tcPr>
            <w:tcW w:w="1939" w:type="pct"/>
            <w:vAlign w:val="center"/>
          </w:tcPr>
          <w:p>
            <w:pPr>
              <w:keepNext w:val="0"/>
              <w:keepLines w:val="0"/>
              <w:suppressLineNumbers w:val="0"/>
              <w:snapToGrid w:val="0"/>
              <w:spacing w:before="0" w:beforeAutospacing="0" w:after="0" w:afterAutospacing="0" w:line="440" w:lineRule="exact"/>
              <w:ind w:left="0" w:right="0"/>
              <w:jc w:val="center"/>
              <w:rPr>
                <w:rFonts w:hint="default"/>
                <w:color w:val="000000"/>
                <w:szCs w:val="21"/>
              </w:rPr>
            </w:pPr>
            <w:r>
              <w:rPr>
                <w:rFonts w:hint="eastAsia"/>
                <w:color w:val="000000"/>
                <w:szCs w:val="21"/>
              </w:rPr>
              <w:t>检验项目</w:t>
            </w:r>
          </w:p>
        </w:tc>
        <w:tc>
          <w:tcPr>
            <w:tcW w:w="1829" w:type="pct"/>
            <w:vAlign w:val="center"/>
          </w:tcPr>
          <w:p>
            <w:pPr>
              <w:keepNext w:val="0"/>
              <w:keepLines w:val="0"/>
              <w:suppressLineNumbers w:val="0"/>
              <w:snapToGrid w:val="0"/>
              <w:spacing w:before="0" w:beforeAutospacing="0" w:after="0" w:afterAutospacing="0" w:line="440" w:lineRule="exact"/>
              <w:ind w:left="0" w:right="0"/>
              <w:jc w:val="center"/>
              <w:rPr>
                <w:rFonts w:hint="default"/>
                <w:color w:val="000000"/>
                <w:szCs w:val="21"/>
              </w:rPr>
            </w:pPr>
            <w:r>
              <w:rPr>
                <w:rFonts w:hint="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感官要求</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szCs w:val="21"/>
              </w:rPr>
            </w:pPr>
            <w:r>
              <w:rPr>
                <w:rFonts w:hint="eastAsia" w:cs="宋体"/>
                <w:szCs w:val="21"/>
              </w:rPr>
              <w:t>GB 4806.7</w:t>
            </w:r>
            <w:r>
              <w:rPr>
                <w:rFonts w:hint="default"/>
                <w:szCs w:val="21"/>
              </w:rPr>
              <w:t>—</w:t>
            </w:r>
            <w:r>
              <w:rPr>
                <w:rFonts w:hint="eastAsia" w:cs="宋体"/>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总迁移量</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szCs w:val="21"/>
              </w:rPr>
            </w:pPr>
            <w:r>
              <w:rPr>
                <w:rFonts w:hint="eastAsia" w:cs="宋体"/>
                <w:szCs w:val="21"/>
              </w:rPr>
              <w:t>GB 31604.8</w:t>
            </w:r>
            <w:r>
              <w:rPr>
                <w:rFonts w:hint="default"/>
                <w:szCs w:val="21"/>
              </w:rPr>
              <w:t>—</w:t>
            </w:r>
            <w:r>
              <w:rPr>
                <w:rFonts w:hint="eastAsia" w:cs="宋体"/>
                <w:szCs w:val="21"/>
              </w:rPr>
              <w:t>20</w:t>
            </w:r>
            <w:r>
              <w:rPr>
                <w:rFonts w:hint="default" w:cs="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高锰酸钾消耗量</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szCs w:val="21"/>
              </w:rPr>
            </w:pPr>
            <w:r>
              <w:rPr>
                <w:rFonts w:hint="eastAsia" w:cs="宋体"/>
                <w:szCs w:val="21"/>
              </w:rPr>
              <w:t>GB 31604.2</w:t>
            </w:r>
            <w:r>
              <w:rPr>
                <w:rFonts w:hint="default"/>
                <w:szCs w:val="21"/>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重金属（以Pb计）</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szCs w:val="21"/>
              </w:rPr>
            </w:pPr>
            <w:r>
              <w:rPr>
                <w:rFonts w:hint="eastAsia" w:cs="宋体"/>
                <w:szCs w:val="21"/>
              </w:rPr>
              <w:t>GB 31604.9</w:t>
            </w:r>
            <w:r>
              <w:rPr>
                <w:rFonts w:hint="default"/>
                <w:szCs w:val="21"/>
              </w:rPr>
              <w:t>—</w:t>
            </w:r>
            <w:r>
              <w:rPr>
                <w:rFonts w:hint="eastAsia" w:cs="宋体"/>
                <w:szCs w:val="21"/>
              </w:rPr>
              <w:t xml:space="preserve">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脱色试验</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szCs w:val="21"/>
              </w:rPr>
            </w:pPr>
            <w:r>
              <w:rPr>
                <w:rFonts w:hint="eastAsia" w:cs="宋体"/>
                <w:szCs w:val="21"/>
              </w:rPr>
              <w:t>GB 31604.7</w:t>
            </w:r>
            <w:r>
              <w:rPr>
                <w:rFonts w:hint="default"/>
                <w:szCs w:val="21"/>
              </w:rPr>
              <w:t>—</w:t>
            </w:r>
            <w:r>
              <w:rPr>
                <w:rFonts w:hint="eastAsia" w:cs="宋体"/>
                <w:szCs w:val="21"/>
              </w:rPr>
              <w:t>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230" w:type="pct"/>
            <w:vAlign w:val="center"/>
          </w:tcPr>
          <w:p>
            <w:pPr>
              <w:keepNext w:val="0"/>
              <w:keepLines w:val="0"/>
              <w:numPr>
                <w:ilvl w:val="0"/>
                <w:numId w:val="1"/>
              </w:numPr>
              <w:suppressLineNumbers w:val="0"/>
              <w:adjustRightInd w:val="0"/>
              <w:snapToGrid w:val="0"/>
              <w:spacing w:before="0" w:beforeAutospacing="0" w:after="0" w:afterAutospacing="0"/>
              <w:ind w:right="0"/>
              <w:jc w:val="center"/>
              <w:rPr>
                <w:rFonts w:hint="default" w:cs="宋体"/>
                <w:szCs w:val="21"/>
              </w:rPr>
            </w:pPr>
          </w:p>
        </w:tc>
        <w:tc>
          <w:tcPr>
            <w:tcW w:w="193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芳香族伯胺迁移总量</w:t>
            </w:r>
          </w:p>
        </w:tc>
        <w:tc>
          <w:tcPr>
            <w:tcW w:w="1829" w:type="pct"/>
            <w:vAlign w:val="center"/>
          </w:tcPr>
          <w:p>
            <w:pPr>
              <w:keepNext w:val="0"/>
              <w:keepLines w:val="0"/>
              <w:suppressLineNumbers w:val="0"/>
              <w:adjustRightInd w:val="0"/>
              <w:snapToGrid w:val="0"/>
              <w:spacing w:before="0" w:beforeAutospacing="0" w:after="0" w:afterAutospacing="0"/>
              <w:ind w:left="0" w:right="0"/>
              <w:jc w:val="center"/>
              <w:rPr>
                <w:rFonts w:hint="default" w:cs="宋体"/>
                <w:szCs w:val="21"/>
              </w:rPr>
            </w:pPr>
            <w:r>
              <w:rPr>
                <w:rFonts w:hint="eastAsia" w:cs="宋体"/>
                <w:szCs w:val="21"/>
              </w:rPr>
              <w:t>GB 31604.52</w:t>
            </w:r>
            <w:r>
              <w:rPr>
                <w:rFonts w:hint="default"/>
                <w:szCs w:val="21"/>
              </w:rPr>
              <w:t>—</w:t>
            </w:r>
            <w:r>
              <w:rPr>
                <w:rFonts w:hint="eastAsia" w:cs="宋体"/>
                <w:szCs w:val="21"/>
              </w:rPr>
              <w:t>2021</w:t>
            </w:r>
          </w:p>
        </w:tc>
      </w:tr>
      <w:bookmarkEnd w:id="2"/>
    </w:tbl>
    <w:p>
      <w:pPr>
        <w:adjustRightInd w:val="0"/>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bookmarkEnd w:id="3"/>
    <w:p>
      <w:pPr>
        <w:snapToGrid w:val="0"/>
        <w:spacing w:line="440" w:lineRule="exact"/>
        <w:ind w:firstLine="359" w:firstLineChars="171"/>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eastAsia="黑体" w:cs="黑体"/>
          <w:szCs w:val="21"/>
        </w:rPr>
      </w:pPr>
    </w:p>
    <w:p>
      <w:pPr>
        <w:adjustRightInd w:val="0"/>
        <w:snapToGrid w:val="0"/>
        <w:spacing w:line="440" w:lineRule="exact"/>
        <w:outlineLvl w:val="1"/>
        <w:rPr>
          <w:rFonts w:eastAsia="黑体" w:cs="黑体"/>
          <w:szCs w:val="21"/>
        </w:rPr>
      </w:pPr>
      <w:r>
        <w:rPr>
          <w:rFonts w:hint="eastAsia" w:eastAsia="黑体" w:cs="黑体"/>
          <w:szCs w:val="21"/>
        </w:rPr>
        <w:t>3 判定规则</w:t>
      </w:r>
    </w:p>
    <w:p>
      <w:pPr>
        <w:adjustRightInd w:val="0"/>
        <w:snapToGrid w:val="0"/>
        <w:spacing w:line="440" w:lineRule="exact"/>
        <w:rPr>
          <w:color w:val="000000"/>
          <w:szCs w:val="21"/>
        </w:rPr>
      </w:pPr>
      <w:r>
        <w:rPr>
          <w:rFonts w:hint="eastAsia"/>
          <w:color w:val="000000"/>
          <w:szCs w:val="21"/>
        </w:rPr>
        <w:t>3.1依据标准</w:t>
      </w:r>
    </w:p>
    <w:p>
      <w:pPr>
        <w:adjustRightInd w:val="0"/>
        <w:snapToGrid w:val="0"/>
        <w:spacing w:line="440" w:lineRule="exact"/>
        <w:ind w:firstLine="420" w:firstLineChars="200"/>
        <w:rPr>
          <w:rFonts w:cs="宋体"/>
          <w:szCs w:val="21"/>
        </w:rPr>
      </w:pPr>
      <w:r>
        <w:rPr>
          <w:rFonts w:hint="eastAsia" w:cs="宋体"/>
          <w:szCs w:val="21"/>
        </w:rPr>
        <w:t>GB 4806.7—2023 食品安全国家标准 食品接触用塑料材料及制品</w:t>
      </w:r>
    </w:p>
    <w:p>
      <w:pPr>
        <w:adjustRightInd w:val="0"/>
        <w:snapToGrid w:val="0"/>
        <w:spacing w:line="440" w:lineRule="exact"/>
        <w:ind w:firstLine="420" w:firstLineChars="200"/>
        <w:rPr>
          <w:rFonts w:cs="宋体"/>
          <w:szCs w:val="21"/>
        </w:rPr>
      </w:pPr>
      <w:r>
        <w:rPr>
          <w:rFonts w:hint="eastAsia" w:cs="宋体"/>
          <w:szCs w:val="21"/>
        </w:rPr>
        <w:t>GB 9685</w:t>
      </w:r>
      <w:r>
        <w:rPr>
          <w:szCs w:val="21"/>
        </w:rPr>
        <w:t>—</w:t>
      </w:r>
      <w:r>
        <w:rPr>
          <w:rFonts w:hint="eastAsia" w:cs="宋体"/>
          <w:szCs w:val="21"/>
        </w:rPr>
        <w:t>2016 食品安全国家标准 食品接触材料及制品用添加剂使用标准</w:t>
      </w:r>
    </w:p>
    <w:p>
      <w:pPr>
        <w:adjustRightInd w:val="0"/>
        <w:snapToGrid w:val="0"/>
        <w:spacing w:line="440" w:lineRule="exact"/>
        <w:ind w:firstLine="420" w:firstLineChars="200"/>
        <w:rPr>
          <w:rFonts w:hint="eastAsia" w:cs="宋体"/>
          <w:szCs w:val="21"/>
        </w:rPr>
      </w:pPr>
      <w:r>
        <w:fldChar w:fldCharType="begin"/>
      </w:r>
      <w:r>
        <w:instrText xml:space="preserve"> HYPERLINK "http://www.bzsb.info/javascript:void(0);" </w:instrText>
      </w:r>
      <w:r>
        <w:fldChar w:fldCharType="separate"/>
      </w:r>
      <w:r>
        <w:rPr>
          <w:rFonts w:hint="eastAsia" w:cs="宋体"/>
          <w:szCs w:val="21"/>
        </w:rPr>
        <w:t>GB/T 18006.1</w:t>
      </w:r>
      <w:r>
        <w:rPr>
          <w:szCs w:val="21"/>
        </w:rPr>
        <w:t>—</w:t>
      </w:r>
      <w:r>
        <w:rPr>
          <w:rFonts w:hint="eastAsia" w:cs="宋体"/>
          <w:szCs w:val="21"/>
        </w:rPr>
        <w:t>2009</w:t>
      </w:r>
      <w:r>
        <w:rPr>
          <w:rFonts w:hint="eastAsia" w:cs="宋体"/>
          <w:szCs w:val="21"/>
        </w:rPr>
        <w:fldChar w:fldCharType="end"/>
      </w:r>
      <w:r>
        <w:rPr>
          <w:rFonts w:hint="eastAsia"/>
        </w:rPr>
        <w:t xml:space="preserve"> </w:t>
      </w:r>
      <w:r>
        <w:rPr>
          <w:rFonts w:hint="eastAsia" w:cs="宋体"/>
          <w:szCs w:val="21"/>
        </w:rPr>
        <w:t>塑料一次性餐饮具通用技术要求</w:t>
      </w:r>
    </w:p>
    <w:p>
      <w:pPr>
        <w:adjustRightInd w:val="0"/>
        <w:snapToGrid w:val="0"/>
        <w:spacing w:line="440" w:lineRule="exact"/>
        <w:ind w:firstLine="420" w:firstLineChars="200"/>
        <w:rPr>
          <w:rFonts w:hint="eastAsia" w:cs="宋体"/>
          <w:szCs w:val="21"/>
        </w:rPr>
      </w:pPr>
      <w:r>
        <w:fldChar w:fldCharType="begin"/>
      </w:r>
      <w:r>
        <w:instrText xml:space="preserve"> HYPERLINK "http://www.bzsb.info/javascript:void(0);" </w:instrText>
      </w:r>
      <w:r>
        <w:fldChar w:fldCharType="separate"/>
      </w:r>
      <w:r>
        <w:rPr>
          <w:rFonts w:hint="eastAsia" w:cs="宋体"/>
          <w:szCs w:val="21"/>
        </w:rPr>
        <w:t>GB/T 18006.</w:t>
      </w:r>
      <w:r>
        <w:rPr>
          <w:rFonts w:hint="eastAsia" w:cs="宋体"/>
          <w:szCs w:val="21"/>
          <w:lang w:val="en-US" w:eastAsia="zh-CN"/>
        </w:rPr>
        <w:t>3</w:t>
      </w:r>
      <w:r>
        <w:rPr>
          <w:szCs w:val="21"/>
        </w:rPr>
        <w:t>—</w:t>
      </w:r>
      <w:r>
        <w:rPr>
          <w:rFonts w:hint="eastAsia" w:cs="宋体"/>
          <w:szCs w:val="21"/>
        </w:rPr>
        <w:t>20</w:t>
      </w:r>
      <w:r>
        <w:rPr>
          <w:rFonts w:hint="eastAsia" w:cs="宋体"/>
          <w:szCs w:val="21"/>
          <w:lang w:val="en-US" w:eastAsia="zh-CN"/>
        </w:rPr>
        <w:t>2</w:t>
      </w:r>
      <w:r>
        <w:rPr>
          <w:rFonts w:hint="eastAsia" w:cs="宋体"/>
          <w:szCs w:val="21"/>
        </w:rPr>
        <w:fldChar w:fldCharType="end"/>
      </w:r>
      <w:r>
        <w:rPr>
          <w:rFonts w:hint="eastAsia" w:cs="宋体"/>
          <w:szCs w:val="21"/>
          <w:lang w:val="en-US" w:eastAsia="zh-CN"/>
        </w:rPr>
        <w:t>0</w:t>
      </w:r>
      <w:r>
        <w:rPr>
          <w:rFonts w:hint="eastAsia"/>
        </w:rPr>
        <w:t xml:space="preserve"> 一次性可降解餐饮具通用技术要求</w:t>
      </w:r>
    </w:p>
    <w:p>
      <w:pPr>
        <w:adjustRightInd w:val="0"/>
        <w:snapToGrid w:val="0"/>
        <w:spacing w:line="440" w:lineRule="exact"/>
        <w:ind w:firstLine="420" w:firstLineChars="200"/>
        <w:rPr>
          <w:rFonts w:cs="宋体"/>
          <w:szCs w:val="21"/>
        </w:rPr>
      </w:pPr>
      <w:r>
        <w:rPr>
          <w:rFonts w:hint="eastAsia" w:cs="宋体"/>
          <w:szCs w:val="21"/>
        </w:rPr>
        <w:t>现行有效的企业标准、团体标准、地方标准及产品明示质量要求</w:t>
      </w:r>
    </w:p>
    <w:p>
      <w:pPr>
        <w:adjustRightInd w:val="0"/>
        <w:snapToGrid w:val="0"/>
        <w:spacing w:line="440" w:lineRule="exact"/>
        <w:rPr>
          <w:color w:val="000000"/>
          <w:szCs w:val="21"/>
        </w:rPr>
      </w:pPr>
      <w:r>
        <w:rPr>
          <w:rFonts w:hint="eastAsia"/>
          <w:color w:val="000000"/>
          <w:szCs w:val="21"/>
        </w:rPr>
        <w:t>3.2判定原则</w:t>
      </w:r>
    </w:p>
    <w:p>
      <w:pPr>
        <w:adjustRightInd w:val="0"/>
        <w:snapToGrid w:val="0"/>
        <w:spacing w:line="440" w:lineRule="exact"/>
        <w:ind w:firstLine="420" w:firstLineChars="200"/>
        <w:rPr>
          <w:color w:val="000000"/>
          <w:szCs w:val="21"/>
        </w:rPr>
      </w:pPr>
      <w:r>
        <w:rPr>
          <w:rFonts w:hint="eastAsia"/>
          <w:color w:val="000000"/>
          <w:szCs w:val="21"/>
        </w:rPr>
        <w:t>经检验，检验项目全部合格，</w:t>
      </w:r>
      <w:r>
        <w:rPr>
          <w:color w:val="000000"/>
          <w:szCs w:val="21"/>
        </w:rPr>
        <w:t>判定为被抽查产品</w:t>
      </w:r>
      <w:r>
        <w:rPr>
          <w:rFonts w:hint="eastAsia"/>
          <w:color w:val="000000"/>
          <w:szCs w:val="21"/>
        </w:rPr>
        <w:t>所检项目未发现不</w:t>
      </w:r>
      <w:r>
        <w:rPr>
          <w:color w:val="000000"/>
          <w:szCs w:val="21"/>
        </w:rPr>
        <w:t>合格；</w:t>
      </w:r>
      <w:r>
        <w:rPr>
          <w:rFonts w:hint="eastAsia"/>
          <w:color w:val="000000"/>
          <w:szCs w:val="21"/>
        </w:rPr>
        <w:t>检验项目中任一项或一项以上不合格，判定为被抽查产品不合格。</w:t>
      </w:r>
    </w:p>
    <w:p>
      <w:pPr>
        <w:adjustRightInd w:val="0"/>
        <w:snapToGrid w:val="0"/>
        <w:spacing w:line="440" w:lineRule="exact"/>
        <w:ind w:firstLine="420" w:firstLineChars="200"/>
        <w:rPr>
          <w:color w:val="000000"/>
          <w:szCs w:val="21"/>
        </w:rPr>
      </w:pPr>
      <w:r>
        <w:rPr>
          <w:rFonts w:hint="eastAsia"/>
          <w:color w:val="000000"/>
          <w:szCs w:val="21"/>
        </w:rPr>
        <w:t>若被检产品明示的质量要求高于本细则中检验项目依据的标准要求时，应按被检产品明示的质量要求判定。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若被检产品明示的质量要求低于本细则中检验项目依据的强制性标准要求时，应按照强制性标准要求判定。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color w:val="000000"/>
          <w:szCs w:val="21"/>
        </w:rPr>
      </w:pPr>
      <w:r>
        <w:rPr>
          <w:rFonts w:hint="eastAsia"/>
          <w:color w:val="000000"/>
          <w:szCs w:val="21"/>
        </w:rPr>
        <w:t>若被检产品明示的质量要求缺少本细则中检验项目依据的强制性标准要求时，应按照强制性标准要求判定。</w:t>
      </w:r>
    </w:p>
    <w:p>
      <w:pPr>
        <w:widowControl/>
        <w:adjustRightInd w:val="0"/>
        <w:snapToGrid w:val="0"/>
        <w:spacing w:line="440" w:lineRule="exact"/>
        <w:ind w:left="0" w:firstLine="420" w:firstLineChars="200"/>
        <w:rPr>
          <w:color w:val="000000"/>
          <w:szCs w:val="21"/>
        </w:rPr>
      </w:pPr>
      <w:r>
        <w:rPr>
          <w:rFonts w:hint="eastAsia"/>
          <w:color w:val="000000"/>
          <w:szCs w:val="21"/>
        </w:rPr>
        <w:t>若被检产品明示的质量要求缺少本细则中检验项目依据的推荐性标准要求时，该项目不参与判定。</w:t>
      </w:r>
    </w:p>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仿宋简体">
    <w:altName w:val="方正仿宋_GBK"/>
    <w:panose1 w:val="03000509000000000000"/>
    <w:charset w:val="86"/>
    <w:family w:val="script"/>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3</w:t>
    </w:r>
    <w:r>
      <w:rPr>
        <w:sz w:val="21"/>
        <w:szCs w:val="21"/>
        <w:lang w:val="zh-CN"/>
      </w:rPr>
      <w:fldChar w:fldCharType="end"/>
    </w:r>
  </w:p>
  <w:p>
    <w:pPr>
      <w:pStyle w:val="5"/>
      <w:ind w:right="36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embedSystemFonts/>
  <w:bordersDoNotSurroundHeader w:val="false"/>
  <w:bordersDoNotSurroundFooter w:val="false"/>
  <w:doNotTrackMoves/>
  <w:revisionView w:markup="0"/>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NGE3NzhjZmRkZWIxOTQ3NWQ3ZGM1NDJlYzkwOTUifQ=="/>
  </w:docVars>
  <w:rsids>
    <w:rsidRoot w:val="004E7F45"/>
    <w:rsid w:val="000223BA"/>
    <w:rsid w:val="00025E70"/>
    <w:rsid w:val="00026930"/>
    <w:rsid w:val="000600FC"/>
    <w:rsid w:val="000612B1"/>
    <w:rsid w:val="000C39EF"/>
    <w:rsid w:val="000D0B7A"/>
    <w:rsid w:val="000F504B"/>
    <w:rsid w:val="001001F2"/>
    <w:rsid w:val="00111BFA"/>
    <w:rsid w:val="00126B4B"/>
    <w:rsid w:val="0013492D"/>
    <w:rsid w:val="00190058"/>
    <w:rsid w:val="001E7D67"/>
    <w:rsid w:val="001F5300"/>
    <w:rsid w:val="00262E0C"/>
    <w:rsid w:val="00263965"/>
    <w:rsid w:val="002917F2"/>
    <w:rsid w:val="002961CD"/>
    <w:rsid w:val="002D2966"/>
    <w:rsid w:val="002E746B"/>
    <w:rsid w:val="0033027F"/>
    <w:rsid w:val="00331A97"/>
    <w:rsid w:val="00345C28"/>
    <w:rsid w:val="00391B32"/>
    <w:rsid w:val="003D5388"/>
    <w:rsid w:val="003F7705"/>
    <w:rsid w:val="004064D4"/>
    <w:rsid w:val="00421E58"/>
    <w:rsid w:val="0048431A"/>
    <w:rsid w:val="004E7F45"/>
    <w:rsid w:val="004F4966"/>
    <w:rsid w:val="0051209D"/>
    <w:rsid w:val="00532F8D"/>
    <w:rsid w:val="0054077C"/>
    <w:rsid w:val="00556FBD"/>
    <w:rsid w:val="00571A64"/>
    <w:rsid w:val="00590F96"/>
    <w:rsid w:val="005A736C"/>
    <w:rsid w:val="005E6927"/>
    <w:rsid w:val="006219F8"/>
    <w:rsid w:val="00626CB9"/>
    <w:rsid w:val="00646A2D"/>
    <w:rsid w:val="0065579C"/>
    <w:rsid w:val="0068760D"/>
    <w:rsid w:val="006C56E0"/>
    <w:rsid w:val="007844F1"/>
    <w:rsid w:val="00791A66"/>
    <w:rsid w:val="007978AC"/>
    <w:rsid w:val="007A4F3E"/>
    <w:rsid w:val="007E6AED"/>
    <w:rsid w:val="0082334C"/>
    <w:rsid w:val="00862859"/>
    <w:rsid w:val="0088588D"/>
    <w:rsid w:val="008A1D26"/>
    <w:rsid w:val="008A34E5"/>
    <w:rsid w:val="008C2AA1"/>
    <w:rsid w:val="008D4A5A"/>
    <w:rsid w:val="00902C4C"/>
    <w:rsid w:val="0091647C"/>
    <w:rsid w:val="009371D2"/>
    <w:rsid w:val="009833AD"/>
    <w:rsid w:val="009A74F5"/>
    <w:rsid w:val="009F1D5A"/>
    <w:rsid w:val="00A04474"/>
    <w:rsid w:val="00A34CC6"/>
    <w:rsid w:val="00A42486"/>
    <w:rsid w:val="00A941B5"/>
    <w:rsid w:val="00A95981"/>
    <w:rsid w:val="00AC1FA9"/>
    <w:rsid w:val="00AD527D"/>
    <w:rsid w:val="00AE0D56"/>
    <w:rsid w:val="00AF34B8"/>
    <w:rsid w:val="00AF3B5B"/>
    <w:rsid w:val="00AF46D5"/>
    <w:rsid w:val="00B24BD0"/>
    <w:rsid w:val="00B4221B"/>
    <w:rsid w:val="00B44E4C"/>
    <w:rsid w:val="00B61C35"/>
    <w:rsid w:val="00B942CB"/>
    <w:rsid w:val="00BA4D5F"/>
    <w:rsid w:val="00BA5623"/>
    <w:rsid w:val="00BB1D93"/>
    <w:rsid w:val="00BC2935"/>
    <w:rsid w:val="00BE1502"/>
    <w:rsid w:val="00C2557D"/>
    <w:rsid w:val="00C25CB5"/>
    <w:rsid w:val="00C3154A"/>
    <w:rsid w:val="00C37F41"/>
    <w:rsid w:val="00C454DF"/>
    <w:rsid w:val="00C50932"/>
    <w:rsid w:val="00C87D52"/>
    <w:rsid w:val="00CE4FD7"/>
    <w:rsid w:val="00CE5418"/>
    <w:rsid w:val="00D10BD4"/>
    <w:rsid w:val="00D541C8"/>
    <w:rsid w:val="00D5626E"/>
    <w:rsid w:val="00D867EF"/>
    <w:rsid w:val="00D92B63"/>
    <w:rsid w:val="00D9409B"/>
    <w:rsid w:val="00DA4552"/>
    <w:rsid w:val="00DA52B0"/>
    <w:rsid w:val="00DF15F6"/>
    <w:rsid w:val="00DF4DCE"/>
    <w:rsid w:val="00E26257"/>
    <w:rsid w:val="00E864B9"/>
    <w:rsid w:val="00E93AD3"/>
    <w:rsid w:val="00E96ACA"/>
    <w:rsid w:val="00EB3B67"/>
    <w:rsid w:val="00EE0DA2"/>
    <w:rsid w:val="00F07ACA"/>
    <w:rsid w:val="00F14A6A"/>
    <w:rsid w:val="00F15254"/>
    <w:rsid w:val="00F2567C"/>
    <w:rsid w:val="00F76949"/>
    <w:rsid w:val="00F85554"/>
    <w:rsid w:val="00F94DCB"/>
    <w:rsid w:val="00FF2630"/>
    <w:rsid w:val="01A131C3"/>
    <w:rsid w:val="01FB18B7"/>
    <w:rsid w:val="024B3ED5"/>
    <w:rsid w:val="032C2CC0"/>
    <w:rsid w:val="03F95510"/>
    <w:rsid w:val="050161E5"/>
    <w:rsid w:val="05545442"/>
    <w:rsid w:val="056915AB"/>
    <w:rsid w:val="057B705B"/>
    <w:rsid w:val="07555753"/>
    <w:rsid w:val="09837BF5"/>
    <w:rsid w:val="0AEB25EF"/>
    <w:rsid w:val="0B043AC3"/>
    <w:rsid w:val="0CA16AA5"/>
    <w:rsid w:val="0D5E33E4"/>
    <w:rsid w:val="0E986DA6"/>
    <w:rsid w:val="10E96DCA"/>
    <w:rsid w:val="11A97B1A"/>
    <w:rsid w:val="12173371"/>
    <w:rsid w:val="12EE04EB"/>
    <w:rsid w:val="142E2B41"/>
    <w:rsid w:val="146050F4"/>
    <w:rsid w:val="14625475"/>
    <w:rsid w:val="15097FDB"/>
    <w:rsid w:val="150E1C7B"/>
    <w:rsid w:val="15326481"/>
    <w:rsid w:val="15861A43"/>
    <w:rsid w:val="15F1076B"/>
    <w:rsid w:val="16A57807"/>
    <w:rsid w:val="17084D5A"/>
    <w:rsid w:val="188E1215"/>
    <w:rsid w:val="18B11774"/>
    <w:rsid w:val="19EE2BE9"/>
    <w:rsid w:val="1A291462"/>
    <w:rsid w:val="1A9221AF"/>
    <w:rsid w:val="1B0978C3"/>
    <w:rsid w:val="1BDD60C2"/>
    <w:rsid w:val="1BEC669B"/>
    <w:rsid w:val="1C0559C8"/>
    <w:rsid w:val="1D0D0F8E"/>
    <w:rsid w:val="1DCA3D55"/>
    <w:rsid w:val="1E1060D3"/>
    <w:rsid w:val="1E3265FA"/>
    <w:rsid w:val="1E504E6B"/>
    <w:rsid w:val="1FE932D4"/>
    <w:rsid w:val="1FF041AE"/>
    <w:rsid w:val="1FFE717E"/>
    <w:rsid w:val="20055C73"/>
    <w:rsid w:val="20076CF3"/>
    <w:rsid w:val="201C0001"/>
    <w:rsid w:val="204E7819"/>
    <w:rsid w:val="20A372F0"/>
    <w:rsid w:val="20CB4BB3"/>
    <w:rsid w:val="213E16CC"/>
    <w:rsid w:val="216F55CD"/>
    <w:rsid w:val="21F07040"/>
    <w:rsid w:val="22702DA9"/>
    <w:rsid w:val="22902033"/>
    <w:rsid w:val="22F14622"/>
    <w:rsid w:val="23997488"/>
    <w:rsid w:val="24185F38"/>
    <w:rsid w:val="24744770"/>
    <w:rsid w:val="249267E9"/>
    <w:rsid w:val="25D71F2A"/>
    <w:rsid w:val="276B0F6B"/>
    <w:rsid w:val="27B619BA"/>
    <w:rsid w:val="29370BA0"/>
    <w:rsid w:val="29FE6D57"/>
    <w:rsid w:val="2A9653EA"/>
    <w:rsid w:val="2AF0519A"/>
    <w:rsid w:val="2B3505C9"/>
    <w:rsid w:val="2B7251A1"/>
    <w:rsid w:val="2BA06E91"/>
    <w:rsid w:val="2D0F3610"/>
    <w:rsid w:val="2DAF6AA4"/>
    <w:rsid w:val="2E447434"/>
    <w:rsid w:val="2F2203D9"/>
    <w:rsid w:val="2F7401D4"/>
    <w:rsid w:val="2F7470F0"/>
    <w:rsid w:val="308630DB"/>
    <w:rsid w:val="310877D6"/>
    <w:rsid w:val="311114DA"/>
    <w:rsid w:val="3152139C"/>
    <w:rsid w:val="31996818"/>
    <w:rsid w:val="322F25BC"/>
    <w:rsid w:val="325272D3"/>
    <w:rsid w:val="327812DD"/>
    <w:rsid w:val="3282567F"/>
    <w:rsid w:val="32AF1344"/>
    <w:rsid w:val="337C71E2"/>
    <w:rsid w:val="33ED6206"/>
    <w:rsid w:val="34222F33"/>
    <w:rsid w:val="345E6417"/>
    <w:rsid w:val="34755852"/>
    <w:rsid w:val="348A3282"/>
    <w:rsid w:val="35D82F96"/>
    <w:rsid w:val="3601309E"/>
    <w:rsid w:val="36A6576C"/>
    <w:rsid w:val="373778B4"/>
    <w:rsid w:val="379D2C7F"/>
    <w:rsid w:val="37A458DA"/>
    <w:rsid w:val="37CF580A"/>
    <w:rsid w:val="384E752E"/>
    <w:rsid w:val="39135CA7"/>
    <w:rsid w:val="394C6EB2"/>
    <w:rsid w:val="3A774A34"/>
    <w:rsid w:val="3AE96DA9"/>
    <w:rsid w:val="3B753DDC"/>
    <w:rsid w:val="3BFA02F7"/>
    <w:rsid w:val="3C0B2B89"/>
    <w:rsid w:val="3C7D414C"/>
    <w:rsid w:val="3CC309AB"/>
    <w:rsid w:val="3E142187"/>
    <w:rsid w:val="3E780D76"/>
    <w:rsid w:val="405B2D0B"/>
    <w:rsid w:val="40664C8A"/>
    <w:rsid w:val="40F85902"/>
    <w:rsid w:val="42AA28AA"/>
    <w:rsid w:val="43436E77"/>
    <w:rsid w:val="43F37E46"/>
    <w:rsid w:val="44123AED"/>
    <w:rsid w:val="44C85855"/>
    <w:rsid w:val="44F24207"/>
    <w:rsid w:val="45000F8C"/>
    <w:rsid w:val="45697947"/>
    <w:rsid w:val="46F32B98"/>
    <w:rsid w:val="47C3256A"/>
    <w:rsid w:val="47DD19DA"/>
    <w:rsid w:val="48CD242C"/>
    <w:rsid w:val="4933371F"/>
    <w:rsid w:val="496B0759"/>
    <w:rsid w:val="4A6B0188"/>
    <w:rsid w:val="4ABB1D38"/>
    <w:rsid w:val="4AE745DB"/>
    <w:rsid w:val="4C1D7892"/>
    <w:rsid w:val="4D5E548A"/>
    <w:rsid w:val="4E3917D8"/>
    <w:rsid w:val="4EB67BBA"/>
    <w:rsid w:val="4EF318AC"/>
    <w:rsid w:val="50225853"/>
    <w:rsid w:val="50D864D3"/>
    <w:rsid w:val="51086967"/>
    <w:rsid w:val="513F2C99"/>
    <w:rsid w:val="516E4782"/>
    <w:rsid w:val="52F952BE"/>
    <w:rsid w:val="53243C8C"/>
    <w:rsid w:val="534A24ED"/>
    <w:rsid w:val="53AF4999"/>
    <w:rsid w:val="54543A5D"/>
    <w:rsid w:val="548C30FC"/>
    <w:rsid w:val="55675746"/>
    <w:rsid w:val="556E394C"/>
    <w:rsid w:val="55797C08"/>
    <w:rsid w:val="562847D2"/>
    <w:rsid w:val="59F561A9"/>
    <w:rsid w:val="5A6F5206"/>
    <w:rsid w:val="5AE47268"/>
    <w:rsid w:val="5C301652"/>
    <w:rsid w:val="5DAE5A52"/>
    <w:rsid w:val="5E0D0BDF"/>
    <w:rsid w:val="5F253730"/>
    <w:rsid w:val="5F5D78DC"/>
    <w:rsid w:val="5FC657A3"/>
    <w:rsid w:val="601F0EAE"/>
    <w:rsid w:val="602E7188"/>
    <w:rsid w:val="620675AB"/>
    <w:rsid w:val="622B13D1"/>
    <w:rsid w:val="62AC7955"/>
    <w:rsid w:val="62B73D4C"/>
    <w:rsid w:val="63490652"/>
    <w:rsid w:val="64A86918"/>
    <w:rsid w:val="64E33708"/>
    <w:rsid w:val="650E0CE2"/>
    <w:rsid w:val="65CD15D6"/>
    <w:rsid w:val="68F93880"/>
    <w:rsid w:val="6951565F"/>
    <w:rsid w:val="69552DD1"/>
    <w:rsid w:val="69CB6804"/>
    <w:rsid w:val="6BE256D4"/>
    <w:rsid w:val="6C15171F"/>
    <w:rsid w:val="6DED7B6E"/>
    <w:rsid w:val="6E083216"/>
    <w:rsid w:val="6E8A7348"/>
    <w:rsid w:val="6E9256FE"/>
    <w:rsid w:val="6EA70D04"/>
    <w:rsid w:val="6EC5277F"/>
    <w:rsid w:val="6F2B5042"/>
    <w:rsid w:val="6F5442C8"/>
    <w:rsid w:val="70ED3E4C"/>
    <w:rsid w:val="711A28E5"/>
    <w:rsid w:val="71482881"/>
    <w:rsid w:val="71D2493E"/>
    <w:rsid w:val="71DB227A"/>
    <w:rsid w:val="723122EE"/>
    <w:rsid w:val="72794FA7"/>
    <w:rsid w:val="730C2F2A"/>
    <w:rsid w:val="739B5F35"/>
    <w:rsid w:val="741A20CB"/>
    <w:rsid w:val="75762924"/>
    <w:rsid w:val="75FC38B9"/>
    <w:rsid w:val="76592B1C"/>
    <w:rsid w:val="768A5494"/>
    <w:rsid w:val="77854E73"/>
    <w:rsid w:val="797E31CB"/>
    <w:rsid w:val="7A277A18"/>
    <w:rsid w:val="7A9A1A11"/>
    <w:rsid w:val="7B9157EC"/>
    <w:rsid w:val="7BB578CB"/>
    <w:rsid w:val="7BD50253"/>
    <w:rsid w:val="7C3D28A5"/>
    <w:rsid w:val="7C5B0643"/>
    <w:rsid w:val="7CA13F21"/>
    <w:rsid w:val="7DDF4CE6"/>
    <w:rsid w:val="7E071097"/>
    <w:rsid w:val="7E463F5C"/>
    <w:rsid w:val="7E611631"/>
    <w:rsid w:val="7E6B05F1"/>
    <w:rsid w:val="7E6B3D8A"/>
    <w:rsid w:val="7F396B86"/>
    <w:rsid w:val="7F666998"/>
    <w:rsid w:val="ADBF593C"/>
    <w:rsid w:val="BFFFC639"/>
    <w:rsid w:val="F7F11ECA"/>
    <w:rsid w:val="FF7EA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12"/>
    <w:qFormat/>
    <w:uiPriority w:val="99"/>
    <w:pPr>
      <w:jc w:val="left"/>
    </w:pPr>
  </w:style>
  <w:style w:type="paragraph" w:styleId="3">
    <w:name w:val="Body Text Indent"/>
    <w:basedOn w:val="1"/>
    <w:qFormat/>
    <w:uiPriority w:val="0"/>
    <w:pPr>
      <w:ind w:firstLine="600" w:firstLineChars="200"/>
    </w:pPr>
    <w:rPr>
      <w:rFonts w:eastAsia="仿宋_GB2312"/>
      <w:sz w:val="30"/>
      <w:szCs w:val="24"/>
    </w:rPr>
  </w:style>
  <w:style w:type="paragraph" w:styleId="4">
    <w:name w:val="Balloon Text"/>
    <w:basedOn w:val="1"/>
    <w:link w:val="13"/>
    <w:qFormat/>
    <w:uiPriority w:val="0"/>
    <w:rPr>
      <w:sz w:val="18"/>
      <w:szCs w:val="18"/>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4"/>
    <w:qFormat/>
    <w:uiPriority w:val="0"/>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qFormat/>
    <w:uiPriority w:val="0"/>
    <w:rPr>
      <w:sz w:val="21"/>
      <w:szCs w:val="21"/>
    </w:rPr>
  </w:style>
  <w:style w:type="character" w:customStyle="1" w:styleId="12">
    <w:name w:val="批注文字 字符"/>
    <w:link w:val="2"/>
    <w:qFormat/>
    <w:uiPriority w:val="99"/>
    <w:rPr>
      <w:kern w:val="2"/>
      <w:sz w:val="21"/>
      <w:szCs w:val="22"/>
    </w:rPr>
  </w:style>
  <w:style w:type="character" w:customStyle="1" w:styleId="13">
    <w:name w:val="批注框文本 字符"/>
    <w:link w:val="4"/>
    <w:qFormat/>
    <w:uiPriority w:val="0"/>
    <w:rPr>
      <w:kern w:val="2"/>
      <w:sz w:val="18"/>
      <w:szCs w:val="18"/>
    </w:rPr>
  </w:style>
  <w:style w:type="character" w:customStyle="1" w:styleId="14">
    <w:name w:val="批注主题 字符"/>
    <w:link w:val="7"/>
    <w:qFormat/>
    <w:uiPriority w:val="0"/>
  </w:style>
  <w:style w:type="character" w:customStyle="1" w:styleId="15">
    <w:name w:val="fontstyle01"/>
    <w:qFormat/>
    <w:uiPriority w:val="0"/>
    <w:rPr>
      <w:rFonts w:ascii="黑体" w:hAnsi="宋体" w:eastAsia="黑体" w:cs="黑体"/>
      <w:color w:val="000000"/>
      <w:sz w:val="32"/>
      <w:szCs w:val="32"/>
    </w:rPr>
  </w:style>
  <w:style w:type="paragraph" w:customStyle="1" w:styleId="16">
    <w:name w:val="修订1"/>
    <w:unhideWhenUsed/>
    <w:qFormat/>
    <w:uiPriority w:val="99"/>
    <w:rPr>
      <w:rFonts w:ascii="Times New Roman" w:hAnsi="Times New Roman" w:eastAsia="宋体" w:cs="Times New Roman"/>
      <w:kern w:val="2"/>
      <w:sz w:val="21"/>
      <w:szCs w:val="22"/>
      <w:lang w:val="en-US" w:eastAsia="zh-CN" w:bidi="ar-SA"/>
    </w:rPr>
  </w:style>
  <w:style w:type="paragraph" w:customStyle="1" w:styleId="17">
    <w:name w:val="列出段落1"/>
    <w:basedOn w:val="1"/>
    <w:qFormat/>
    <w:uiPriority w:val="34"/>
    <w:pPr>
      <w:ind w:firstLine="420" w:firstLineChars="200"/>
    </w:pPr>
  </w:style>
  <w:style w:type="paragraph" w:customStyle="1" w:styleId="18">
    <w:name w:val="Default"/>
    <w:qFormat/>
    <w:uiPriority w:val="0"/>
    <w:pPr>
      <w:widowControl w:val="0"/>
      <w:autoSpaceDE w:val="0"/>
      <w:autoSpaceDN w:val="0"/>
      <w:adjustRightInd w:val="0"/>
    </w:pPr>
    <w:rPr>
      <w:rFonts w:ascii="仿宋" w:hAnsi="Times New Roman" w:eastAsia="仿宋" w:cs="仿宋"/>
      <w:color w:val="000000"/>
      <w:sz w:val="24"/>
      <w:szCs w:val="24"/>
      <w:lang w:val="en-US" w:eastAsia="zh-CN" w:bidi="ar-SA"/>
    </w:rPr>
  </w:style>
  <w:style w:type="paragraph" w:styleId="19">
    <w:name w:val="List Paragraph"/>
    <w:basedOn w:val="1"/>
    <w:qFormat/>
    <w:uiPriority w:val="99"/>
    <w:pPr>
      <w:ind w:firstLine="420" w:firstLineChars="200"/>
    </w:pPr>
  </w:style>
  <w:style w:type="paragraph" w:customStyle="1" w:styleId="20">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1173</Words>
  <Characters>1485</Characters>
  <Lines>13</Lines>
  <Paragraphs>3</Paragraphs>
  <TotalTime>14</TotalTime>
  <ScaleCrop>false</ScaleCrop>
  <LinksUpToDate>false</LinksUpToDate>
  <CharactersWithSpaces>1529</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2019-12-27T19:53:00Z</dcterms:created>
  <dc:creator>lenovo</dc:creator>
  <cp:lastModifiedBy>scjgj</cp:lastModifiedBy>
  <cp:lastPrinted>2024-03-02T06:25:00Z</cp:lastPrinted>
  <dcterms:modified xsi:type="dcterms:W3CDTF">2025-06-17T10:24:55Z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y fmtid="{D5CDD505-2E9C-101B-9397-08002B2CF9AE}" pid="3" name="ICV">
    <vt:lpwstr>4CBD88FE8F2C44DBAE9F1135C2873110_13</vt:lpwstr>
  </property>
  <property fmtid="{D5CDD505-2E9C-101B-9397-08002B2CF9AE}" pid="4" name="KSOTemplateDocerSaveRecord">
    <vt:lpwstr>eyJoZGlkIjoiM2RhM2RmZjAyMmNkZTQ0N2I5OTQyZWMxNjQzOTUwYWQiLCJ1c2VySWQiOiIzNTQ0MzM2NzEifQ==</vt:lpwstr>
  </property>
</Properties>
</file>