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40876">
      <w:pPr>
        <w:adjustRightInd w:val="0"/>
        <w:spacing w:line="240" w:lineRule="auto"/>
        <w:contextualSpacing/>
        <w:jc w:val="center"/>
        <w:rPr>
          <w:rFonts w:hint="default" w:ascii="Times New Roman" w:hAnsi="Times New Roman" w:eastAsia="方正小标宋_GBK" w:cs="Times New Roman"/>
          <w:b w:val="0"/>
          <w:bCs w:val="0"/>
          <w:color w:val="000000"/>
          <w:sz w:val="32"/>
          <w:szCs w:val="32"/>
          <w:shd w:val="clear" w:color="auto" w:fill="auto"/>
        </w:rPr>
      </w:pPr>
      <w:r>
        <w:rPr>
          <w:rFonts w:hint="default" w:ascii="Times New Roman" w:hAnsi="Times New Roman" w:eastAsia="方正小标宋_GBK" w:cs="Times New Roman"/>
          <w:b w:val="0"/>
          <w:bCs w:val="0"/>
          <w:color w:val="000000"/>
          <w:sz w:val="32"/>
          <w:szCs w:val="32"/>
          <w:shd w:val="clear" w:color="auto" w:fill="auto"/>
        </w:rPr>
        <w:t>重庆</w:t>
      </w:r>
      <w:r>
        <w:rPr>
          <w:rFonts w:hint="default" w:ascii="Times New Roman" w:hAnsi="Times New Roman" w:eastAsia="方正小标宋_GBK" w:cs="Times New Roman"/>
          <w:b w:val="0"/>
          <w:bCs w:val="0"/>
          <w:color w:val="000000"/>
          <w:sz w:val="32"/>
          <w:szCs w:val="32"/>
          <w:shd w:val="clear" w:color="auto" w:fill="auto"/>
          <w:lang w:val="en-US" w:eastAsia="zh-CN"/>
        </w:rPr>
        <w:t>市</w:t>
      </w:r>
      <w:r>
        <w:rPr>
          <w:rFonts w:hint="default" w:ascii="Times New Roman" w:hAnsi="Times New Roman" w:eastAsia="方正小标宋_GBK" w:cs="Times New Roman"/>
          <w:b w:val="0"/>
          <w:bCs w:val="0"/>
          <w:color w:val="000000"/>
          <w:sz w:val="32"/>
          <w:szCs w:val="32"/>
          <w:shd w:val="clear" w:color="auto" w:fill="auto"/>
        </w:rPr>
        <w:t>一次性内裤产品质量监督抽查实施细则</w:t>
      </w:r>
    </w:p>
    <w:p w14:paraId="0F6FE8BB">
      <w:pPr>
        <w:adjustRightInd w:val="0"/>
        <w:spacing w:line="240" w:lineRule="auto"/>
        <w:contextualSpacing/>
        <w:jc w:val="center"/>
        <w:rPr>
          <w:rFonts w:hint="default" w:ascii="Times New Roman" w:hAnsi="Times New Roman" w:eastAsia="方正小标宋_GBK" w:cs="Times New Roman"/>
          <w:b w:val="0"/>
          <w:bCs w:val="0"/>
          <w:color w:val="000000"/>
          <w:sz w:val="32"/>
          <w:szCs w:val="32"/>
          <w:shd w:val="clear" w:color="auto" w:fill="auto"/>
          <w:lang w:eastAsia="zh-CN"/>
        </w:rPr>
      </w:pPr>
      <w:r>
        <w:rPr>
          <w:rFonts w:hint="default" w:ascii="Times New Roman" w:hAnsi="Times New Roman" w:eastAsia="方正小标宋_GBK" w:cs="Times New Roman"/>
          <w:b w:val="0"/>
          <w:bCs w:val="0"/>
          <w:color w:val="000000"/>
          <w:sz w:val="32"/>
          <w:szCs w:val="32"/>
          <w:shd w:val="clear" w:color="auto" w:fill="auto"/>
          <w:lang w:eastAsia="zh-CN"/>
        </w:rPr>
        <w:t>（</w:t>
      </w:r>
      <w:r>
        <w:rPr>
          <w:rFonts w:hint="default" w:ascii="Times New Roman" w:hAnsi="Times New Roman" w:eastAsia="方正小标宋_GBK" w:cs="Times New Roman"/>
          <w:b w:val="0"/>
          <w:bCs w:val="0"/>
          <w:color w:val="000000"/>
          <w:sz w:val="32"/>
          <w:szCs w:val="32"/>
          <w:shd w:val="clear" w:color="auto" w:fill="auto"/>
          <w:lang w:val="en-US" w:eastAsia="zh-CN"/>
        </w:rPr>
        <w:t>2025年版</w:t>
      </w:r>
      <w:r>
        <w:rPr>
          <w:rFonts w:hint="default" w:ascii="Times New Roman" w:hAnsi="Times New Roman" w:eastAsia="方正小标宋_GBK" w:cs="Times New Roman"/>
          <w:b w:val="0"/>
          <w:bCs w:val="0"/>
          <w:color w:val="000000"/>
          <w:sz w:val="32"/>
          <w:szCs w:val="32"/>
          <w:shd w:val="clear" w:color="auto" w:fill="auto"/>
          <w:lang w:eastAsia="zh-CN"/>
        </w:rPr>
        <w:t>）</w:t>
      </w:r>
    </w:p>
    <w:p w14:paraId="469A645A">
      <w:pPr>
        <w:adjustRightInd w:val="0"/>
        <w:spacing w:line="360" w:lineRule="auto"/>
        <w:contextualSpacing/>
        <w:jc w:val="center"/>
        <w:rPr>
          <w:rFonts w:hint="default" w:ascii="Times New Roman" w:hAnsi="Times New Roman" w:eastAsia="方正小标宋简体" w:cs="Times New Roman"/>
          <w:color w:val="000000"/>
          <w:sz w:val="32"/>
          <w:szCs w:val="32"/>
        </w:rPr>
      </w:pPr>
    </w:p>
    <w:p w14:paraId="191C0D94">
      <w:pPr>
        <w:snapToGrid w:val="0"/>
        <w:spacing w:line="440" w:lineRule="exact"/>
        <w:rPr>
          <w:rFonts w:hint="default" w:ascii="Times New Roman" w:hAnsi="Times New Roman" w:eastAsia="黑体"/>
          <w:color w:val="000000"/>
          <w:szCs w:val="21"/>
        </w:rPr>
      </w:pPr>
      <w:r>
        <w:rPr>
          <w:rFonts w:hint="default" w:ascii="Times New Roman" w:hAnsi="Times New Roman" w:eastAsia="黑体"/>
          <w:color w:val="000000"/>
          <w:szCs w:val="21"/>
        </w:rPr>
        <w:t xml:space="preserve">1 抽样方法 </w:t>
      </w:r>
    </w:p>
    <w:p w14:paraId="7E9DAC51">
      <w:pPr>
        <w:snapToGrid w:val="0"/>
        <w:spacing w:line="440" w:lineRule="exact"/>
        <w:ind w:firstLine="420" w:firstLineChars="200"/>
        <w:rPr>
          <w:rFonts w:ascii="Times New Roman" w:hAnsi="Times New Roman"/>
          <w:color w:val="auto"/>
          <w:szCs w:val="21"/>
        </w:rPr>
      </w:pPr>
      <w:r>
        <w:rPr>
          <w:rFonts w:hint="default" w:ascii="Times New Roman" w:hAnsi="Times New Roman"/>
          <w:color w:val="auto"/>
          <w:szCs w:val="21"/>
        </w:rPr>
        <w:t>以随机抽样的方式在被抽样生产者</w:t>
      </w:r>
      <w:r>
        <w:rPr>
          <w:rFonts w:hint="default" w:ascii="Times New Roman" w:hAnsi="Times New Roman"/>
          <w:color w:val="auto"/>
          <w:szCs w:val="21"/>
          <w:lang w:eastAsia="zh-CN"/>
        </w:rPr>
        <w:t>、</w:t>
      </w:r>
      <w:r>
        <w:rPr>
          <w:rFonts w:hint="default" w:ascii="Times New Roman" w:hAnsi="Times New Roman"/>
          <w:color w:val="auto"/>
          <w:szCs w:val="21"/>
          <w:lang w:val="en-US" w:eastAsia="zh-CN"/>
        </w:rPr>
        <w:t>销售者</w:t>
      </w:r>
      <w:r>
        <w:rPr>
          <w:rFonts w:hint="default" w:ascii="Times New Roman" w:hAnsi="Times New Roman"/>
          <w:color w:val="auto"/>
          <w:szCs w:val="21"/>
        </w:rPr>
        <w:t>的待销产品中抽取。</w:t>
      </w:r>
    </w:p>
    <w:p w14:paraId="7989C9EA">
      <w:pPr>
        <w:snapToGrid w:val="0"/>
        <w:spacing w:line="440" w:lineRule="exact"/>
        <w:ind w:firstLine="420" w:firstLineChars="200"/>
        <w:rPr>
          <w:rFonts w:ascii="Times New Roman" w:hAnsi="Times New Roman"/>
          <w:color w:val="auto"/>
          <w:szCs w:val="21"/>
          <w:highlight w:val="none"/>
        </w:rPr>
      </w:pPr>
      <w:r>
        <w:rPr>
          <w:rFonts w:hint="default" w:ascii="Times New Roman" w:hAnsi="Times New Roman"/>
          <w:color w:val="auto"/>
          <w:szCs w:val="21"/>
        </w:rPr>
        <w:t>随机数一般可使用随机数表等方法产生。</w:t>
      </w:r>
    </w:p>
    <w:p w14:paraId="440BD71B">
      <w:pPr>
        <w:snapToGrid w:val="0"/>
        <w:spacing w:line="440" w:lineRule="exact"/>
        <w:ind w:firstLine="420" w:firstLineChars="200"/>
        <w:rPr>
          <w:rFonts w:hint="default" w:ascii="Times New Roman" w:hAnsi="Times New Roman"/>
          <w:szCs w:val="21"/>
          <w:highlight w:val="none"/>
          <w:lang w:eastAsia="zh-CN"/>
        </w:rPr>
      </w:pPr>
      <w:r>
        <w:rPr>
          <w:rFonts w:hint="default" w:ascii="Times New Roman" w:hAnsi="Times New Roman"/>
          <w:color w:val="auto"/>
          <w:szCs w:val="21"/>
          <w:highlight w:val="none"/>
          <w:lang w:eastAsia="zh-CN"/>
        </w:rPr>
        <w:t>每批次</w:t>
      </w:r>
      <w:r>
        <w:rPr>
          <w:rFonts w:hint="default" w:ascii="Times New Roman" w:hAnsi="Times New Roman"/>
          <w:color w:val="auto"/>
          <w:szCs w:val="21"/>
          <w:highlight w:val="none"/>
        </w:rPr>
        <w:t>抽取</w:t>
      </w:r>
      <w:r>
        <w:rPr>
          <w:rFonts w:hint="eastAsia" w:ascii="Times New Roman" w:hAnsi="Times New Roman"/>
          <w:color w:val="auto"/>
          <w:szCs w:val="21"/>
          <w:highlight w:val="none"/>
          <w:lang w:val="en-US" w:eastAsia="zh-CN"/>
        </w:rPr>
        <w:t>8个</w:t>
      </w:r>
      <w:r>
        <w:rPr>
          <w:rFonts w:hint="default" w:ascii="Times New Roman" w:hAnsi="Times New Roman"/>
          <w:color w:val="auto"/>
          <w:szCs w:val="21"/>
          <w:highlight w:val="none"/>
          <w:lang w:val="en-US" w:eastAsia="zh-CN"/>
        </w:rPr>
        <w:t>独立包装</w:t>
      </w:r>
      <w:r>
        <w:rPr>
          <w:rFonts w:hint="eastAsia" w:ascii="Times New Roman" w:hAnsi="Times New Roman"/>
          <w:color w:val="auto"/>
          <w:szCs w:val="21"/>
          <w:highlight w:val="none"/>
          <w:lang w:val="en-US" w:eastAsia="zh-CN"/>
        </w:rPr>
        <w:t>的</w:t>
      </w:r>
      <w:r>
        <w:rPr>
          <w:rFonts w:hint="default" w:ascii="Times New Roman" w:hAnsi="Times New Roman"/>
          <w:color w:val="auto"/>
          <w:szCs w:val="21"/>
          <w:highlight w:val="none"/>
          <w:lang w:eastAsia="zh-CN"/>
        </w:rPr>
        <w:t>产</w:t>
      </w:r>
      <w:r>
        <w:rPr>
          <w:rFonts w:hint="default" w:ascii="Times New Roman" w:hAnsi="Times New Roman"/>
          <w:color w:val="auto"/>
          <w:szCs w:val="21"/>
          <w:highlight w:val="none"/>
          <w:lang w:val="en-US" w:eastAsia="zh-CN"/>
        </w:rPr>
        <w:t>品（不少于</w:t>
      </w:r>
      <w:r>
        <w:rPr>
          <w:rFonts w:hint="eastAsia" w:ascii="Times New Roman" w:hAnsi="Times New Roman"/>
          <w:color w:val="auto"/>
          <w:szCs w:val="21"/>
          <w:highlight w:val="none"/>
          <w:lang w:val="en-US" w:eastAsia="zh-CN"/>
        </w:rPr>
        <w:t>8</w:t>
      </w:r>
      <w:r>
        <w:rPr>
          <w:rFonts w:hint="default" w:ascii="Times New Roman" w:hAnsi="Times New Roman"/>
          <w:color w:val="auto"/>
          <w:szCs w:val="21"/>
          <w:highlight w:val="none"/>
          <w:lang w:val="en-US" w:eastAsia="zh-CN"/>
        </w:rPr>
        <w:t>条），其</w:t>
      </w:r>
      <w:r>
        <w:rPr>
          <w:rFonts w:hint="default" w:ascii="Times New Roman" w:hAnsi="Times New Roman"/>
          <w:color w:val="auto"/>
          <w:szCs w:val="21"/>
          <w:highlight w:val="none"/>
        </w:rPr>
        <w:t>中</w:t>
      </w:r>
      <w:r>
        <w:rPr>
          <w:rFonts w:hint="eastAsia" w:ascii="Times New Roman" w:hAnsi="Times New Roman"/>
          <w:color w:val="auto"/>
          <w:szCs w:val="21"/>
          <w:highlight w:val="none"/>
          <w:lang w:val="en-US" w:eastAsia="zh-CN"/>
        </w:rPr>
        <w:t>5</w:t>
      </w:r>
      <w:r>
        <w:rPr>
          <w:rFonts w:hint="default" w:ascii="Times New Roman" w:hAnsi="Times New Roman"/>
          <w:color w:val="auto"/>
          <w:szCs w:val="21"/>
          <w:highlight w:val="none"/>
          <w:lang w:val="en-US" w:eastAsia="zh-CN"/>
        </w:rPr>
        <w:t>包（不少于</w:t>
      </w:r>
      <w:r>
        <w:rPr>
          <w:rFonts w:hint="eastAsia" w:ascii="Times New Roman" w:hAnsi="Times New Roman"/>
          <w:color w:val="auto"/>
          <w:szCs w:val="21"/>
          <w:highlight w:val="none"/>
          <w:lang w:val="en-US" w:eastAsia="zh-CN"/>
        </w:rPr>
        <w:t>5</w:t>
      </w:r>
      <w:r>
        <w:rPr>
          <w:rFonts w:hint="default" w:ascii="Times New Roman" w:hAnsi="Times New Roman"/>
          <w:color w:val="auto"/>
          <w:szCs w:val="21"/>
          <w:highlight w:val="none"/>
          <w:lang w:val="en-US" w:eastAsia="zh-CN"/>
        </w:rPr>
        <w:t>条）</w:t>
      </w:r>
      <w:r>
        <w:rPr>
          <w:rFonts w:hint="default" w:ascii="Times New Roman" w:hAnsi="Times New Roman"/>
          <w:szCs w:val="21"/>
          <w:highlight w:val="none"/>
        </w:rPr>
        <w:t>作为检验样品，</w:t>
      </w:r>
      <w:r>
        <w:rPr>
          <w:rFonts w:hint="default" w:ascii="Times New Roman" w:hAnsi="Times New Roman"/>
          <w:color w:val="auto"/>
          <w:szCs w:val="21"/>
          <w:highlight w:val="none"/>
          <w:lang w:val="en-US" w:eastAsia="zh-CN"/>
        </w:rPr>
        <w:t>3包（不少于</w:t>
      </w:r>
      <w:r>
        <w:rPr>
          <w:rFonts w:hint="eastAsia" w:ascii="Times New Roman" w:hAnsi="Times New Roman"/>
          <w:color w:val="auto"/>
          <w:szCs w:val="21"/>
          <w:highlight w:val="none"/>
          <w:lang w:val="en-US" w:eastAsia="zh-CN"/>
        </w:rPr>
        <w:t>3</w:t>
      </w:r>
      <w:r>
        <w:rPr>
          <w:rFonts w:hint="default" w:ascii="Times New Roman" w:hAnsi="Times New Roman"/>
          <w:color w:val="auto"/>
          <w:szCs w:val="21"/>
          <w:highlight w:val="none"/>
          <w:lang w:val="en-US" w:eastAsia="zh-CN"/>
        </w:rPr>
        <w:t>条）</w:t>
      </w:r>
      <w:r>
        <w:rPr>
          <w:rFonts w:hint="default" w:ascii="Times New Roman" w:hAnsi="Times New Roman"/>
          <w:szCs w:val="21"/>
          <w:highlight w:val="none"/>
        </w:rPr>
        <w:t>作为备用样品</w:t>
      </w:r>
      <w:r>
        <w:rPr>
          <w:rFonts w:hint="default" w:ascii="Times New Roman" w:hAnsi="Times New Roman"/>
          <w:szCs w:val="21"/>
          <w:highlight w:val="none"/>
          <w:lang w:eastAsia="zh-CN"/>
        </w:rPr>
        <w:t>。</w:t>
      </w:r>
    </w:p>
    <w:p w14:paraId="23427194">
      <w:pPr>
        <w:snapToGrid w:val="0"/>
        <w:spacing w:line="440" w:lineRule="exact"/>
        <w:ind w:firstLine="420" w:firstLineChars="200"/>
        <w:rPr>
          <w:rFonts w:hint="default" w:ascii="Times New Roman" w:hAnsi="Times New Roman"/>
          <w:szCs w:val="21"/>
          <w:highlight w:val="none"/>
          <w:lang w:eastAsia="zh-CN"/>
        </w:rPr>
      </w:pPr>
    </w:p>
    <w:p w14:paraId="6C0B40B3">
      <w:pPr>
        <w:snapToGrid w:val="0"/>
        <w:spacing w:line="440" w:lineRule="exact"/>
        <w:rPr>
          <w:rFonts w:hint="default" w:ascii="Times New Roman" w:hAnsi="Times New Roman" w:eastAsia="黑体"/>
          <w:color w:val="000000"/>
          <w:szCs w:val="21"/>
        </w:rPr>
      </w:pPr>
      <w:r>
        <w:rPr>
          <w:rFonts w:hint="default" w:ascii="Times New Roman" w:hAnsi="Times New Roman" w:eastAsia="黑体"/>
          <w:color w:val="000000"/>
          <w:szCs w:val="21"/>
        </w:rPr>
        <w:t>2 检验依据</w:t>
      </w:r>
    </w:p>
    <w:tbl>
      <w:tblPr>
        <w:tblStyle w:val="10"/>
        <w:tblW w:w="7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4575"/>
        <w:gridCol w:w="2544"/>
      </w:tblGrid>
      <w:tr w14:paraId="2F746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671" w:type="dxa"/>
            <w:tcBorders>
              <w:bottom w:val="single" w:color="auto" w:sz="4" w:space="0"/>
              <w:right w:val="single" w:color="auto" w:sz="4" w:space="0"/>
            </w:tcBorders>
            <w:vAlign w:val="center"/>
          </w:tcPr>
          <w:p w14:paraId="19AA030C">
            <w:pPr>
              <w:spacing w:line="288" w:lineRule="auto"/>
              <w:jc w:val="center"/>
              <w:rPr>
                <w:rFonts w:ascii="Times New Roman" w:hAnsi="Times New Roman"/>
                <w:color w:val="auto"/>
                <w:szCs w:val="21"/>
                <w:highlight w:val="none"/>
              </w:rPr>
            </w:pPr>
            <w:r>
              <w:rPr>
                <w:rFonts w:hint="default" w:ascii="Times New Roman" w:hAnsi="Times New Roman"/>
                <w:color w:val="auto"/>
                <w:szCs w:val="21"/>
                <w:highlight w:val="none"/>
              </w:rPr>
              <w:t>序号</w:t>
            </w:r>
          </w:p>
        </w:tc>
        <w:tc>
          <w:tcPr>
            <w:tcW w:w="4575" w:type="dxa"/>
            <w:tcBorders>
              <w:left w:val="single" w:color="auto" w:sz="4" w:space="0"/>
              <w:bottom w:val="single" w:color="auto" w:sz="4" w:space="0"/>
              <w:right w:val="single" w:color="auto" w:sz="4" w:space="0"/>
            </w:tcBorders>
            <w:vAlign w:val="center"/>
          </w:tcPr>
          <w:p w14:paraId="5374F91B">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检验项目</w:t>
            </w:r>
          </w:p>
        </w:tc>
        <w:tc>
          <w:tcPr>
            <w:tcW w:w="2544" w:type="dxa"/>
            <w:tcBorders>
              <w:left w:val="single" w:color="auto" w:sz="4" w:space="0"/>
              <w:bottom w:val="single" w:color="auto" w:sz="4" w:space="0"/>
            </w:tcBorders>
            <w:vAlign w:val="center"/>
          </w:tcPr>
          <w:p w14:paraId="79D2D61B">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检验方法</w:t>
            </w:r>
          </w:p>
        </w:tc>
      </w:tr>
      <w:tr w14:paraId="2D60F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234C77B5">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5E4FBC95">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olor w:val="auto"/>
                <w:kern w:val="0"/>
                <w:sz w:val="21"/>
                <w:szCs w:val="21"/>
                <w:highlight w:val="none"/>
                <w:vertAlign w:val="baseline"/>
                <w:lang w:val="en-US" w:eastAsia="zh-CN" w:bidi="ar"/>
              </w:rPr>
            </w:pPr>
            <w:r>
              <w:rPr>
                <w:rFonts w:hint="default" w:ascii="Times New Roman" w:hAnsi="Times New Roman" w:eastAsia="宋体" w:cs="Times New Roman"/>
                <w:caps w:val="0"/>
                <w:color w:val="auto"/>
                <w:spacing w:val="0"/>
                <w:kern w:val="2"/>
                <w:sz w:val="21"/>
                <w:szCs w:val="21"/>
                <w:highlight w:val="none"/>
                <w:lang w:bidi="ar-SA"/>
              </w:rPr>
              <w:t>细菌菌落总数</w:t>
            </w:r>
          </w:p>
        </w:tc>
        <w:tc>
          <w:tcPr>
            <w:tcW w:w="2544" w:type="dxa"/>
            <w:tcBorders>
              <w:top w:val="single" w:color="auto" w:sz="4" w:space="0"/>
              <w:left w:val="single" w:color="auto" w:sz="4" w:space="0"/>
              <w:bottom w:val="single" w:color="auto" w:sz="4" w:space="0"/>
            </w:tcBorders>
            <w:vAlign w:val="center"/>
          </w:tcPr>
          <w:p w14:paraId="6CCAF23B">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15979-2002</w:t>
            </w:r>
          </w:p>
        </w:tc>
      </w:tr>
      <w:tr w14:paraId="61610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127F335B">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3D310BC0">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真菌菌落总数</w:t>
            </w:r>
          </w:p>
        </w:tc>
        <w:tc>
          <w:tcPr>
            <w:tcW w:w="2544" w:type="dxa"/>
            <w:tcBorders>
              <w:top w:val="single" w:color="auto" w:sz="4" w:space="0"/>
              <w:left w:val="single" w:color="auto" w:sz="4" w:space="0"/>
              <w:bottom w:val="single" w:color="auto" w:sz="4" w:space="0"/>
            </w:tcBorders>
            <w:vAlign w:val="center"/>
          </w:tcPr>
          <w:p w14:paraId="20A328DA">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15979-2002</w:t>
            </w:r>
          </w:p>
        </w:tc>
      </w:tr>
      <w:tr w14:paraId="1FD7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7639F73C">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403F3921">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大肠菌群</w:t>
            </w:r>
          </w:p>
        </w:tc>
        <w:tc>
          <w:tcPr>
            <w:tcW w:w="2544" w:type="dxa"/>
            <w:tcBorders>
              <w:top w:val="single" w:color="auto" w:sz="4" w:space="0"/>
              <w:left w:val="single" w:color="auto" w:sz="4" w:space="0"/>
              <w:bottom w:val="single" w:color="auto" w:sz="4" w:space="0"/>
            </w:tcBorders>
            <w:vAlign w:val="center"/>
          </w:tcPr>
          <w:p w14:paraId="26BE228C">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15979-2002</w:t>
            </w:r>
          </w:p>
        </w:tc>
      </w:tr>
      <w:tr w14:paraId="73C9F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2D73D1D2">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77AEF604">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绿脓杆菌</w:t>
            </w:r>
          </w:p>
        </w:tc>
        <w:tc>
          <w:tcPr>
            <w:tcW w:w="2544" w:type="dxa"/>
            <w:tcBorders>
              <w:top w:val="single" w:color="auto" w:sz="4" w:space="0"/>
              <w:left w:val="single" w:color="auto" w:sz="4" w:space="0"/>
              <w:bottom w:val="single" w:color="auto" w:sz="4" w:space="0"/>
            </w:tcBorders>
            <w:vAlign w:val="center"/>
          </w:tcPr>
          <w:p w14:paraId="51C8EA9B">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15979-2002</w:t>
            </w:r>
          </w:p>
        </w:tc>
      </w:tr>
      <w:tr w14:paraId="3957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6A91072E">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171129B7">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金黄色葡萄球菌</w:t>
            </w:r>
          </w:p>
        </w:tc>
        <w:tc>
          <w:tcPr>
            <w:tcW w:w="2544" w:type="dxa"/>
            <w:tcBorders>
              <w:top w:val="single" w:color="auto" w:sz="4" w:space="0"/>
              <w:left w:val="single" w:color="auto" w:sz="4" w:space="0"/>
              <w:bottom w:val="single" w:color="auto" w:sz="4" w:space="0"/>
            </w:tcBorders>
            <w:vAlign w:val="center"/>
          </w:tcPr>
          <w:p w14:paraId="08AD07B5">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15979-2002</w:t>
            </w:r>
          </w:p>
        </w:tc>
      </w:tr>
      <w:tr w14:paraId="05CFC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72C47C4B">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308FE9C9">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溶血性链球菌</w:t>
            </w:r>
          </w:p>
        </w:tc>
        <w:tc>
          <w:tcPr>
            <w:tcW w:w="2544" w:type="dxa"/>
            <w:tcBorders>
              <w:top w:val="single" w:color="auto" w:sz="4" w:space="0"/>
              <w:left w:val="single" w:color="auto" w:sz="4" w:space="0"/>
              <w:bottom w:val="single" w:color="auto" w:sz="4" w:space="0"/>
            </w:tcBorders>
            <w:vAlign w:val="center"/>
          </w:tcPr>
          <w:p w14:paraId="3389DDC3">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15979-2002</w:t>
            </w:r>
          </w:p>
        </w:tc>
      </w:tr>
      <w:tr w14:paraId="6F5B7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69F985FC">
            <w:pPr>
              <w:widowControl w:val="0"/>
              <w:numPr>
                <w:ilvl w:val="0"/>
                <w:numId w:val="0"/>
              </w:numPr>
              <w:spacing w:line="288" w:lineRule="auto"/>
              <w:jc w:val="center"/>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eastAsia="zh-CN"/>
              </w:rPr>
              <w:t>7</w:t>
            </w:r>
          </w:p>
          <w:p w14:paraId="13B2DD2E">
            <w:pPr>
              <w:widowControl w:val="0"/>
              <w:numPr>
                <w:ilvl w:val="0"/>
                <w:numId w:val="0"/>
              </w:numPr>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vAlign w:val="center"/>
          </w:tcPr>
          <w:p w14:paraId="5CB03475">
            <w:pPr>
              <w:spacing w:line="288" w:lineRule="auto"/>
              <w:jc w:val="center"/>
              <w:rPr>
                <w:rFonts w:ascii="Times New Roman" w:hAnsi="Times New Roman"/>
                <w:color w:val="auto"/>
                <w:szCs w:val="21"/>
                <w:highlight w:val="none"/>
              </w:rPr>
            </w:pPr>
            <w:r>
              <w:rPr>
                <w:rFonts w:hint="default" w:ascii="Times New Roman" w:hAnsi="Times New Roman"/>
                <w:color w:val="auto"/>
                <w:szCs w:val="21"/>
                <w:highlight w:val="none"/>
              </w:rPr>
              <w:t>纤维含量</w:t>
            </w:r>
          </w:p>
        </w:tc>
        <w:tc>
          <w:tcPr>
            <w:tcW w:w="2544" w:type="dxa"/>
            <w:tcBorders>
              <w:top w:val="single" w:color="auto" w:sz="4" w:space="0"/>
              <w:left w:val="single" w:color="auto" w:sz="4" w:space="0"/>
              <w:bottom w:val="single" w:color="auto" w:sz="4" w:space="0"/>
            </w:tcBorders>
            <w:vAlign w:val="center"/>
          </w:tcPr>
          <w:p w14:paraId="1DF74666">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01057.1—2007</w:t>
            </w:r>
          </w:p>
          <w:p w14:paraId="29659EC3">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01057.2—2007</w:t>
            </w:r>
          </w:p>
          <w:p w14:paraId="71232D5F">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01057.3—2007</w:t>
            </w:r>
          </w:p>
          <w:p w14:paraId="65106E5A">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01057.4—2007</w:t>
            </w:r>
          </w:p>
          <w:p w14:paraId="3B84C6E8">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2910.1—2009</w:t>
            </w:r>
          </w:p>
          <w:p w14:paraId="643E11C9">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2910.2—2009</w:t>
            </w:r>
          </w:p>
          <w:p w14:paraId="2E7378D8">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2910.3—2009</w:t>
            </w:r>
          </w:p>
          <w:p w14:paraId="2C08EB89">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2910.4—2022</w:t>
            </w:r>
          </w:p>
          <w:p w14:paraId="349C0E54">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2910.5—2009</w:t>
            </w:r>
          </w:p>
          <w:p w14:paraId="7B6A0A1E">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2910.6—2009</w:t>
            </w:r>
          </w:p>
          <w:p w14:paraId="11B42169">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2910.7—2009</w:t>
            </w:r>
          </w:p>
          <w:p w14:paraId="226F6F55">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2910.8—2009</w:t>
            </w:r>
          </w:p>
          <w:p w14:paraId="765CCC42">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2910.11—2009</w:t>
            </w:r>
          </w:p>
          <w:p w14:paraId="04A8FDF5">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2910.12—2023</w:t>
            </w:r>
          </w:p>
          <w:p w14:paraId="32176562">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2910.18—2009</w:t>
            </w:r>
          </w:p>
          <w:p w14:paraId="44E23624">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2910.20—2009</w:t>
            </w:r>
          </w:p>
          <w:p w14:paraId="025FF0C8">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2910.22—2009</w:t>
            </w:r>
          </w:p>
          <w:p w14:paraId="6F25E599">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2910.101—2009</w:t>
            </w:r>
          </w:p>
          <w:p w14:paraId="2F90054B">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01101—2008</w:t>
            </w:r>
          </w:p>
          <w:p w14:paraId="2B997D2A">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01112—2012</w:t>
            </w:r>
          </w:p>
          <w:p w14:paraId="05392DC3">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01026—2017</w:t>
            </w:r>
          </w:p>
          <w:p w14:paraId="776E4998">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38015—2019</w:t>
            </w:r>
          </w:p>
          <w:p w14:paraId="586EEE22">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01095—2002</w:t>
            </w:r>
          </w:p>
          <w:p w14:paraId="458BFFFB">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30003—2009</w:t>
            </w:r>
          </w:p>
          <w:p w14:paraId="1CEFC152">
            <w:pPr>
              <w:spacing w:line="288" w:lineRule="auto"/>
              <w:jc w:val="center"/>
              <w:rPr>
                <w:rFonts w:ascii="Times New Roman" w:hAnsi="Times New Roman"/>
                <w:color w:val="auto"/>
                <w:szCs w:val="21"/>
                <w:highlight w:val="none"/>
              </w:rPr>
            </w:pPr>
            <w:r>
              <w:rPr>
                <w:rFonts w:hint="default" w:ascii="Times New Roman" w:hAnsi="Times New Roman"/>
                <w:color w:val="auto"/>
                <w:szCs w:val="21"/>
                <w:highlight w:val="none"/>
              </w:rPr>
              <w:t>GB/T 16988—2013</w:t>
            </w:r>
            <w:r>
              <w:rPr>
                <w:rFonts w:hint="eastAsia" w:ascii="Times New Roman" w:hAnsi="Times New Roman"/>
                <w:color w:val="auto"/>
                <w:szCs w:val="21"/>
                <w:highlight w:val="none"/>
                <w:lang w:val="en-US" w:eastAsia="zh-CN"/>
              </w:rPr>
              <w:t>等</w:t>
            </w:r>
          </w:p>
        </w:tc>
      </w:tr>
      <w:tr w14:paraId="0E5A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6266585A">
            <w:pPr>
              <w:widowControl w:val="0"/>
              <w:numPr>
                <w:ilvl w:val="0"/>
                <w:numId w:val="0"/>
              </w:numPr>
              <w:spacing w:line="288" w:lineRule="auto"/>
              <w:jc w:val="center"/>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eastAsia="zh-CN"/>
              </w:rPr>
              <w:t>8</w:t>
            </w:r>
          </w:p>
        </w:tc>
        <w:tc>
          <w:tcPr>
            <w:tcW w:w="4575" w:type="dxa"/>
            <w:tcBorders>
              <w:top w:val="single" w:color="auto" w:sz="4" w:space="0"/>
              <w:left w:val="single" w:color="auto" w:sz="4" w:space="0"/>
              <w:bottom w:val="single" w:color="auto" w:sz="4" w:space="0"/>
              <w:right w:val="single" w:color="auto" w:sz="4" w:space="0"/>
            </w:tcBorders>
            <w:vAlign w:val="center"/>
          </w:tcPr>
          <w:p w14:paraId="1721BCFB">
            <w:pPr>
              <w:adjustRightInd w:val="0"/>
              <w:snapToGrid w:val="0"/>
              <w:jc w:val="center"/>
              <w:rPr>
                <w:rFonts w:hint="default" w:ascii="Times New Roman" w:hAnsi="Times New Roman"/>
                <w:color w:val="auto"/>
                <w:szCs w:val="21"/>
                <w:highlight w:val="none"/>
              </w:rPr>
            </w:pPr>
            <w:r>
              <w:rPr>
                <w:rFonts w:ascii="Times New Roman" w:hAnsi="Times New Roman"/>
                <w:szCs w:val="22"/>
              </w:rPr>
              <w:t>甲醛含量</w:t>
            </w:r>
          </w:p>
        </w:tc>
        <w:tc>
          <w:tcPr>
            <w:tcW w:w="2544" w:type="dxa"/>
            <w:tcBorders>
              <w:top w:val="single" w:color="auto" w:sz="4" w:space="0"/>
              <w:left w:val="single" w:color="auto" w:sz="4" w:space="0"/>
              <w:bottom w:val="single" w:color="auto" w:sz="4" w:space="0"/>
            </w:tcBorders>
            <w:vAlign w:val="center"/>
          </w:tcPr>
          <w:p w14:paraId="1767FC6B">
            <w:pPr>
              <w:adjustRightInd w:val="0"/>
              <w:snapToGrid w:val="0"/>
              <w:jc w:val="center"/>
              <w:rPr>
                <w:rFonts w:hint="default" w:ascii="Times New Roman" w:hAnsi="Times New Roman"/>
                <w:color w:val="auto"/>
                <w:szCs w:val="21"/>
                <w:highlight w:val="none"/>
              </w:rPr>
            </w:pPr>
            <w:r>
              <w:rPr>
                <w:rFonts w:hint="default" w:ascii="Times New Roman" w:hAnsi="Times New Roman" w:cs="Times New Roman"/>
                <w:szCs w:val="22"/>
              </w:rPr>
              <w:t>GB/T 2912.1—2009</w:t>
            </w:r>
          </w:p>
        </w:tc>
      </w:tr>
      <w:tr w14:paraId="26CB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right w:val="single" w:color="auto" w:sz="4" w:space="0"/>
            </w:tcBorders>
            <w:vAlign w:val="center"/>
          </w:tcPr>
          <w:p w14:paraId="1B306111">
            <w:pPr>
              <w:widowControl w:val="0"/>
              <w:numPr>
                <w:ilvl w:val="0"/>
                <w:numId w:val="0"/>
              </w:numPr>
              <w:spacing w:line="288" w:lineRule="auto"/>
              <w:jc w:val="center"/>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eastAsia="zh-CN"/>
              </w:rPr>
              <w:t>9</w:t>
            </w:r>
          </w:p>
        </w:tc>
        <w:tc>
          <w:tcPr>
            <w:tcW w:w="4575" w:type="dxa"/>
            <w:tcBorders>
              <w:top w:val="single" w:color="auto" w:sz="4" w:space="0"/>
              <w:left w:val="single" w:color="auto" w:sz="4" w:space="0"/>
              <w:right w:val="single" w:color="auto" w:sz="4" w:space="0"/>
            </w:tcBorders>
            <w:vAlign w:val="center"/>
          </w:tcPr>
          <w:p w14:paraId="4CA4F8F8">
            <w:pPr>
              <w:adjustRightInd w:val="0"/>
              <w:snapToGrid w:val="0"/>
              <w:jc w:val="center"/>
              <w:rPr>
                <w:rFonts w:hint="default" w:ascii="Times New Roman" w:hAnsi="Times New Roman"/>
                <w:color w:val="auto"/>
                <w:szCs w:val="21"/>
                <w:highlight w:val="none"/>
              </w:rPr>
            </w:pPr>
            <w:r>
              <w:rPr>
                <w:rFonts w:ascii="Times New Roman" w:hAnsi="Times New Roman"/>
                <w:szCs w:val="22"/>
              </w:rPr>
              <w:t>pH值</w:t>
            </w:r>
          </w:p>
        </w:tc>
        <w:tc>
          <w:tcPr>
            <w:tcW w:w="2544" w:type="dxa"/>
            <w:tcBorders>
              <w:top w:val="single" w:color="auto" w:sz="4" w:space="0"/>
              <w:left w:val="single" w:color="auto" w:sz="4" w:space="0"/>
            </w:tcBorders>
            <w:vAlign w:val="center"/>
          </w:tcPr>
          <w:p w14:paraId="0F6D6A0A">
            <w:pPr>
              <w:adjustRightInd w:val="0"/>
              <w:snapToGrid w:val="0"/>
              <w:jc w:val="center"/>
              <w:rPr>
                <w:rFonts w:hint="default" w:ascii="Times New Roman" w:hAnsi="Times New Roman"/>
                <w:color w:val="auto"/>
                <w:szCs w:val="21"/>
                <w:highlight w:val="none"/>
              </w:rPr>
            </w:pPr>
            <w:r>
              <w:rPr>
                <w:rFonts w:hint="default" w:ascii="Times New Roman" w:hAnsi="Times New Roman" w:cs="Times New Roman"/>
                <w:szCs w:val="22"/>
              </w:rPr>
              <w:t>GB/T 7573—2009</w:t>
            </w:r>
          </w:p>
        </w:tc>
      </w:tr>
    </w:tbl>
    <w:p w14:paraId="377ED353">
      <w:pPr>
        <w:adjustRightInd w:val="0"/>
        <w:snapToGrid w:val="0"/>
        <w:spacing w:line="440" w:lineRule="exact"/>
        <w:ind w:firstLine="420" w:firstLineChars="200"/>
        <w:rPr>
          <w:rFonts w:hint="default" w:ascii="Times New Roman" w:hAnsi="Times New Roman"/>
          <w:color w:val="000000"/>
          <w:szCs w:val="21"/>
        </w:rPr>
      </w:pPr>
      <w:r>
        <w:rPr>
          <w:rFonts w:hint="default" w:ascii="Times New Roman" w:hAnsi="Times New Roman"/>
          <w:color w:val="000000"/>
          <w:szCs w:val="21"/>
        </w:rPr>
        <w:t>执行企业标准、团体标准、地方标准的产品，检验项目参照上述内容执行。</w:t>
      </w:r>
    </w:p>
    <w:p w14:paraId="4E1D5735">
      <w:pPr>
        <w:snapToGrid w:val="0"/>
        <w:spacing w:line="440" w:lineRule="exact"/>
        <w:ind w:firstLine="417" w:firstLineChars="199"/>
        <w:contextualSpacing w:val="0"/>
        <w:rPr>
          <w:rFonts w:hint="default" w:ascii="Times New Roman" w:hAnsi="Times New Roman"/>
          <w:color w:val="000000"/>
          <w:szCs w:val="21"/>
        </w:rPr>
      </w:pPr>
      <w:r>
        <w:rPr>
          <w:rFonts w:hint="default" w:ascii="Times New Roman" w:hAnsi="Times New Roman"/>
          <w:color w:val="000000"/>
          <w:szCs w:val="21"/>
        </w:rPr>
        <w:t>凡是注日期的文件，其随后所有的修改单（不包括勘误的内容）或修订版不适用于本细则。凡是不注日期的文件，其最新版本适用于本细则。</w:t>
      </w:r>
    </w:p>
    <w:p w14:paraId="7F0794F9">
      <w:pPr>
        <w:snapToGrid w:val="0"/>
        <w:spacing w:line="440" w:lineRule="exact"/>
        <w:ind w:firstLine="417" w:firstLineChars="199"/>
        <w:contextualSpacing w:val="0"/>
        <w:rPr>
          <w:rFonts w:hint="default" w:ascii="Times New Roman" w:hAnsi="Times New Roman"/>
          <w:color w:val="000000"/>
          <w:szCs w:val="21"/>
          <w:highlight w:val="yellow"/>
        </w:rPr>
      </w:pPr>
    </w:p>
    <w:p w14:paraId="19298BBA">
      <w:pPr>
        <w:snapToGrid w:val="0"/>
        <w:spacing w:line="440" w:lineRule="exact"/>
        <w:rPr>
          <w:rFonts w:hint="default" w:ascii="Times New Roman" w:hAnsi="Times New Roman" w:eastAsia="黑体"/>
          <w:color w:val="000000"/>
          <w:szCs w:val="21"/>
        </w:rPr>
      </w:pPr>
      <w:r>
        <w:rPr>
          <w:rFonts w:hint="default" w:ascii="Times New Roman" w:hAnsi="Times New Roman" w:eastAsia="黑体"/>
          <w:color w:val="000000"/>
          <w:szCs w:val="21"/>
        </w:rPr>
        <w:t>3 判定原则</w:t>
      </w:r>
    </w:p>
    <w:p w14:paraId="77FB2A19">
      <w:pPr>
        <w:spacing w:line="440" w:lineRule="exact"/>
        <w:rPr>
          <w:rFonts w:ascii="Times New Roman" w:hAnsi="Times New Roman"/>
          <w:color w:val="000000"/>
          <w:szCs w:val="21"/>
          <w:highlight w:val="none"/>
        </w:rPr>
      </w:pPr>
      <w:r>
        <w:rPr>
          <w:rFonts w:hint="default" w:ascii="Times New Roman" w:hAnsi="Times New Roman"/>
          <w:color w:val="000000"/>
          <w:szCs w:val="21"/>
          <w:highlight w:val="none"/>
        </w:rPr>
        <w:t>3.1依据标准</w:t>
      </w:r>
    </w:p>
    <w:p w14:paraId="6589DA19">
      <w:pPr>
        <w:keepNext w:val="0"/>
        <w:keepLines w:val="0"/>
        <w:widowControl/>
        <w:suppressLineNumbers w:val="0"/>
        <w:spacing w:line="440" w:lineRule="exact"/>
        <w:ind w:firstLine="420" w:firstLineChars="200"/>
        <w:jc w:val="left"/>
        <w:rPr>
          <w:rFonts w:hint="default" w:ascii="Times New Roman" w:hAnsi="Times New Roman" w:eastAsia="宋体" w:cs="Times New Roman"/>
          <w:color w:val="000000"/>
          <w:kern w:val="2"/>
          <w:sz w:val="21"/>
          <w:szCs w:val="21"/>
          <w:highlight w:val="none"/>
          <w:lang w:val="en-US" w:eastAsia="zh-CN" w:bidi="ar"/>
        </w:rPr>
      </w:pPr>
      <w:bookmarkStart w:id="0" w:name="_Hlk77751671"/>
      <w:r>
        <w:rPr>
          <w:rFonts w:hint="default" w:ascii="Times New Roman" w:hAnsi="Times New Roman" w:eastAsia="宋体" w:cs="Times New Roman"/>
          <w:color w:val="000000"/>
          <w:kern w:val="2"/>
          <w:sz w:val="21"/>
          <w:szCs w:val="21"/>
          <w:highlight w:val="none"/>
          <w:lang w:val="en-US" w:eastAsia="zh-CN" w:bidi="ar"/>
        </w:rPr>
        <w:t>GB 15979</w:t>
      </w:r>
      <w:r>
        <w:rPr>
          <w:rFonts w:ascii="Times New Roman" w:hAnsi="Times New Roman"/>
          <w:szCs w:val="21"/>
        </w:rPr>
        <w:t>—</w:t>
      </w:r>
      <w:r>
        <w:rPr>
          <w:rFonts w:hint="default" w:ascii="Times New Roman" w:hAnsi="Times New Roman" w:eastAsia="宋体" w:cs="Times New Roman"/>
          <w:color w:val="000000"/>
          <w:kern w:val="2"/>
          <w:sz w:val="21"/>
          <w:szCs w:val="21"/>
          <w:highlight w:val="none"/>
          <w:lang w:val="en-US" w:eastAsia="zh-CN" w:bidi="ar"/>
        </w:rPr>
        <w:t>20</w:t>
      </w:r>
      <w:r>
        <w:rPr>
          <w:rFonts w:hint="default" w:ascii="Times New Roman" w:hAnsi="Times New Roman" w:cs="Times New Roman"/>
          <w:color w:val="000000"/>
          <w:kern w:val="2"/>
          <w:sz w:val="21"/>
          <w:szCs w:val="21"/>
          <w:highlight w:val="none"/>
          <w:lang w:val="en-US" w:eastAsia="zh-CN" w:bidi="ar"/>
        </w:rPr>
        <w:t xml:space="preserve">02 </w:t>
      </w:r>
      <w:r>
        <w:rPr>
          <w:rFonts w:hint="default" w:ascii="Times New Roman" w:hAnsi="Times New Roman" w:eastAsia="宋体" w:cs="Times New Roman"/>
          <w:color w:val="000000"/>
          <w:kern w:val="2"/>
          <w:sz w:val="21"/>
          <w:szCs w:val="21"/>
          <w:highlight w:val="none"/>
          <w:lang w:val="en-US" w:eastAsia="zh-CN" w:bidi="ar"/>
        </w:rPr>
        <w:t>一次性使用卫生用品卫生标准</w:t>
      </w:r>
    </w:p>
    <w:p w14:paraId="018F4AA8">
      <w:pPr>
        <w:spacing w:line="440" w:lineRule="exact"/>
        <w:ind w:firstLine="420" w:firstLineChars="200"/>
        <w:rPr>
          <w:rFonts w:ascii="Times New Roman" w:hAnsi="Times New Roman"/>
          <w:color w:val="000000"/>
          <w:szCs w:val="21"/>
          <w:highlight w:val="none"/>
        </w:rPr>
      </w:pPr>
      <w:r>
        <w:rPr>
          <w:rFonts w:hint="default" w:ascii="Times New Roman" w:hAnsi="Times New Roman"/>
          <w:color w:val="000000"/>
          <w:szCs w:val="21"/>
          <w:highlight w:val="none"/>
        </w:rPr>
        <w:t>GB/T 29862</w:t>
      </w:r>
      <w:r>
        <w:rPr>
          <w:rFonts w:ascii="Times New Roman" w:hAnsi="Times New Roman"/>
          <w:szCs w:val="21"/>
        </w:rPr>
        <w:t>—</w:t>
      </w:r>
      <w:r>
        <w:rPr>
          <w:rFonts w:hint="default" w:ascii="Times New Roman" w:hAnsi="Times New Roman"/>
          <w:color w:val="000000"/>
          <w:szCs w:val="21"/>
          <w:highlight w:val="none"/>
        </w:rPr>
        <w:t>2013 纺织品纤维</w:t>
      </w:r>
      <w:bookmarkStart w:id="1" w:name="_GoBack"/>
      <w:bookmarkEnd w:id="1"/>
      <w:r>
        <w:rPr>
          <w:rFonts w:hint="default" w:ascii="Times New Roman" w:hAnsi="Times New Roman"/>
          <w:color w:val="000000"/>
          <w:szCs w:val="21"/>
          <w:highlight w:val="none"/>
        </w:rPr>
        <w:t>含量的标识</w:t>
      </w:r>
    </w:p>
    <w:p w14:paraId="6DC7300B">
      <w:pPr>
        <w:keepNext w:val="0"/>
        <w:keepLines w:val="0"/>
        <w:widowControl/>
        <w:suppressLineNumbers w:val="0"/>
        <w:tabs>
          <w:tab w:val="left" w:pos="2127"/>
          <w:tab w:val="left" w:pos="2268"/>
          <w:tab w:val="left" w:pos="2410"/>
        </w:tabs>
        <w:adjustRightInd w:val="0"/>
        <w:snapToGrid w:val="0"/>
        <w:spacing w:line="440" w:lineRule="exact"/>
        <w:ind w:firstLine="420" w:firstLineChars="200"/>
        <w:jc w:val="left"/>
        <w:rPr>
          <w:rFonts w:hint="default" w:ascii="Times New Roman" w:hAnsi="Times New Roman" w:eastAsia="宋体" w:cs="Times New Roman"/>
          <w:color w:val="000000"/>
          <w:kern w:val="2"/>
          <w:sz w:val="21"/>
          <w:szCs w:val="21"/>
          <w:highlight w:val="none"/>
          <w:lang w:val="en-US" w:eastAsia="zh-CN" w:bidi="ar"/>
        </w:rPr>
      </w:pPr>
      <w:r>
        <w:rPr>
          <w:rFonts w:ascii="Times New Roman" w:hAnsi="Times New Roman"/>
          <w:szCs w:val="21"/>
        </w:rPr>
        <w:t>GB/T 8878—2014 棉针织内衣</w:t>
      </w:r>
    </w:p>
    <w:p w14:paraId="21C172C0">
      <w:pPr>
        <w:keepNext w:val="0"/>
        <w:keepLines w:val="0"/>
        <w:widowControl/>
        <w:suppressLineNumbers w:val="0"/>
        <w:spacing w:line="440" w:lineRule="exact"/>
        <w:ind w:firstLine="420" w:firstLineChars="200"/>
        <w:jc w:val="left"/>
        <w:rPr>
          <w:rFonts w:hint="default" w:ascii="Times New Roman" w:hAnsi="Times New Roman" w:eastAsia="宋体" w:cs="Times New Roman"/>
          <w:color w:val="000000"/>
          <w:kern w:val="2"/>
          <w:sz w:val="21"/>
          <w:szCs w:val="21"/>
          <w:highlight w:val="none"/>
          <w:lang w:val="en-US" w:eastAsia="zh-CN" w:bidi="ar"/>
        </w:rPr>
      </w:pPr>
      <w:r>
        <w:rPr>
          <w:rFonts w:hint="default" w:ascii="Times New Roman" w:hAnsi="Times New Roman" w:eastAsia="宋体" w:cs="Times New Roman"/>
          <w:color w:val="000000"/>
          <w:kern w:val="2"/>
          <w:sz w:val="21"/>
          <w:szCs w:val="21"/>
          <w:highlight w:val="none"/>
          <w:lang w:val="en-US" w:eastAsia="zh-CN" w:bidi="ar"/>
        </w:rPr>
        <w:t>GB/T 8878—2023 针织内衣</w:t>
      </w:r>
    </w:p>
    <w:p w14:paraId="04D1C2DE">
      <w:pPr>
        <w:spacing w:line="440" w:lineRule="exact"/>
        <w:ind w:firstLine="420" w:firstLineChars="200"/>
        <w:rPr>
          <w:rFonts w:ascii="Times New Roman" w:hAnsi="Times New Roman"/>
          <w:color w:val="000000"/>
          <w:szCs w:val="21"/>
          <w:highlight w:val="none"/>
        </w:rPr>
      </w:pPr>
      <w:r>
        <w:rPr>
          <w:rFonts w:hint="default" w:ascii="Times New Roman" w:hAnsi="Times New Roman"/>
          <w:color w:val="000000"/>
          <w:szCs w:val="21"/>
          <w:highlight w:val="none"/>
        </w:rPr>
        <w:t>现行有效的企业标准、团体标准、地方标准及产品明示质量要求</w:t>
      </w:r>
      <w:bookmarkEnd w:id="0"/>
    </w:p>
    <w:p w14:paraId="50CB4961">
      <w:pPr>
        <w:spacing w:line="440" w:lineRule="exact"/>
        <w:outlineLvl w:val="0"/>
        <w:rPr>
          <w:rFonts w:ascii="Times New Roman" w:hAnsi="Times New Roman"/>
          <w:color w:val="000000"/>
          <w:szCs w:val="21"/>
          <w:highlight w:val="none"/>
        </w:rPr>
      </w:pPr>
      <w:r>
        <w:rPr>
          <w:rFonts w:hint="default" w:ascii="Times New Roman" w:hAnsi="Times New Roman"/>
          <w:color w:val="000000"/>
          <w:szCs w:val="21"/>
          <w:highlight w:val="none"/>
        </w:rPr>
        <w:t>3.2判定原则</w:t>
      </w:r>
    </w:p>
    <w:p w14:paraId="1196983D">
      <w:pPr>
        <w:snapToGrid w:val="0"/>
        <w:spacing w:line="440" w:lineRule="exact"/>
        <w:ind w:firstLine="420" w:firstLineChars="200"/>
        <w:rPr>
          <w:rFonts w:hint="default" w:ascii="Times New Roman" w:hAnsi="Times New Roman"/>
          <w:color w:val="000000"/>
          <w:szCs w:val="21"/>
        </w:rPr>
      </w:pPr>
      <w:r>
        <w:rPr>
          <w:rFonts w:hint="default" w:ascii="Times New Roman" w:hAnsi="Times New Roman"/>
          <w:color w:val="000000"/>
          <w:szCs w:val="21"/>
        </w:rPr>
        <w:t>经检验，检验项目全部合格，判定为被抽查产品所检项目未发现不合格；检验项目中任一项或一项以上不合格，判定为被抽查产品不合格。</w:t>
      </w:r>
    </w:p>
    <w:p w14:paraId="40125BDA">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若被检产品明示的质量要求高于本细则中检验项目依据的标准要求时，应按被检产品明示的质量要求判定。</w:t>
      </w:r>
    </w:p>
    <w:p w14:paraId="5859CCD8">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若被检产品明示的质量要求低于本细则中检验项目依据的强制性标准要求时，应按照强制性标准要求判定。</w:t>
      </w:r>
    </w:p>
    <w:p w14:paraId="5C3C567F">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若被检产品明示的质量要求低于或包含本细则中检验项目依据的推荐性标准要求时，应以被检产品明示的质量要求判定。</w:t>
      </w:r>
    </w:p>
    <w:p w14:paraId="0CA23298">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若被检产品明示的质量要求缺少本细则中检验项目依据的强制性标准要求时，应按照强制性标准要求判定。</w:t>
      </w:r>
    </w:p>
    <w:p w14:paraId="07489426">
      <w:pPr>
        <w:spacing w:line="440" w:lineRule="exact"/>
        <w:ind w:firstLine="417" w:firstLineChars="199"/>
        <w:rPr>
          <w:rFonts w:ascii="Times New Roman" w:hAnsi="Times New Roman"/>
          <w:color w:val="000000"/>
          <w:highlight w:val="none"/>
        </w:rPr>
      </w:pPr>
      <w:r>
        <w:rPr>
          <w:rFonts w:hint="default" w:ascii="Times New Roman" w:hAnsi="Times New Roman"/>
          <w:color w:val="000000"/>
          <w:szCs w:val="21"/>
        </w:rPr>
        <w:t>若被检产品明示的质量要求缺少本细则中检验项目依据的推荐性标准要求时，该项目不参与判定。</w:t>
      </w:r>
    </w:p>
    <w:p w14:paraId="2D1BAD44">
      <w:pPr>
        <w:rPr>
          <w:rFonts w:ascii="Times New Roman" w:hAnsi="Times New Roman"/>
        </w:rPr>
      </w:pPr>
    </w:p>
    <w:p w14:paraId="08E48309">
      <w:pPr>
        <w:rPr>
          <w:rFonts w:ascii="Times New Roman" w:hAnsi="Times New Roman"/>
        </w:rPr>
      </w:pPr>
    </w:p>
    <w:sectPr>
      <w:headerReference r:id="rId3" w:type="default"/>
      <w:footerReference r:id="rId4" w:type="default"/>
      <w:footerReference r:id="rId5" w:type="even"/>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C7EA9">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184DD863">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0AFD2">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14:paraId="14AF514E">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800C2">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ED8951"/>
    <w:multiLevelType w:val="singleLevel"/>
    <w:tmpl w:val="C8ED8951"/>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MGNiNjEwYjAyOTQ5ZWUwYjZmMTI4ZGVjZTVkZjQifQ=="/>
  </w:docVars>
  <w:rsids>
    <w:rsidRoot w:val="00172A27"/>
    <w:rsid w:val="00002F21"/>
    <w:rsid w:val="000207F2"/>
    <w:rsid w:val="00025F66"/>
    <w:rsid w:val="000333A1"/>
    <w:rsid w:val="00051A44"/>
    <w:rsid w:val="0007099E"/>
    <w:rsid w:val="00072225"/>
    <w:rsid w:val="00072333"/>
    <w:rsid w:val="000730F0"/>
    <w:rsid w:val="00081CBD"/>
    <w:rsid w:val="000976DE"/>
    <w:rsid w:val="000A0FAB"/>
    <w:rsid w:val="000A41A7"/>
    <w:rsid w:val="000A4BAF"/>
    <w:rsid w:val="000A54AC"/>
    <w:rsid w:val="000C4D36"/>
    <w:rsid w:val="000D3222"/>
    <w:rsid w:val="000E2EFB"/>
    <w:rsid w:val="000E4210"/>
    <w:rsid w:val="000F5A7C"/>
    <w:rsid w:val="00101F12"/>
    <w:rsid w:val="00102D01"/>
    <w:rsid w:val="00107959"/>
    <w:rsid w:val="001328F3"/>
    <w:rsid w:val="00141046"/>
    <w:rsid w:val="00141300"/>
    <w:rsid w:val="001621E5"/>
    <w:rsid w:val="00162FBB"/>
    <w:rsid w:val="00172A27"/>
    <w:rsid w:val="001809DD"/>
    <w:rsid w:val="00191A03"/>
    <w:rsid w:val="00197A62"/>
    <w:rsid w:val="001C59D9"/>
    <w:rsid w:val="001D696C"/>
    <w:rsid w:val="001E062C"/>
    <w:rsid w:val="001F0120"/>
    <w:rsid w:val="001F2D82"/>
    <w:rsid w:val="001F6661"/>
    <w:rsid w:val="002023D8"/>
    <w:rsid w:val="002156D7"/>
    <w:rsid w:val="00221670"/>
    <w:rsid w:val="002261B3"/>
    <w:rsid w:val="00232530"/>
    <w:rsid w:val="00242AE8"/>
    <w:rsid w:val="00252BDD"/>
    <w:rsid w:val="00253318"/>
    <w:rsid w:val="00253624"/>
    <w:rsid w:val="00264496"/>
    <w:rsid w:val="00272789"/>
    <w:rsid w:val="0029256A"/>
    <w:rsid w:val="002B5839"/>
    <w:rsid w:val="002C2BEC"/>
    <w:rsid w:val="002C75D6"/>
    <w:rsid w:val="002D1038"/>
    <w:rsid w:val="002D3E59"/>
    <w:rsid w:val="002D7F8A"/>
    <w:rsid w:val="002E0D1D"/>
    <w:rsid w:val="002F3512"/>
    <w:rsid w:val="002F7D66"/>
    <w:rsid w:val="00312781"/>
    <w:rsid w:val="003203A3"/>
    <w:rsid w:val="00322DE9"/>
    <w:rsid w:val="00327721"/>
    <w:rsid w:val="00333425"/>
    <w:rsid w:val="00333B39"/>
    <w:rsid w:val="00336343"/>
    <w:rsid w:val="003452FA"/>
    <w:rsid w:val="003739CF"/>
    <w:rsid w:val="00392DB3"/>
    <w:rsid w:val="003A0765"/>
    <w:rsid w:val="003A2D0B"/>
    <w:rsid w:val="003A708D"/>
    <w:rsid w:val="003B1A1C"/>
    <w:rsid w:val="003B5A20"/>
    <w:rsid w:val="003B68D4"/>
    <w:rsid w:val="003C388C"/>
    <w:rsid w:val="003D27E5"/>
    <w:rsid w:val="003D76D5"/>
    <w:rsid w:val="003E0479"/>
    <w:rsid w:val="003E53F3"/>
    <w:rsid w:val="003E5D69"/>
    <w:rsid w:val="003E61BF"/>
    <w:rsid w:val="003F661D"/>
    <w:rsid w:val="004032C9"/>
    <w:rsid w:val="00404313"/>
    <w:rsid w:val="0041131F"/>
    <w:rsid w:val="00414B68"/>
    <w:rsid w:val="004322B9"/>
    <w:rsid w:val="00433732"/>
    <w:rsid w:val="00445B99"/>
    <w:rsid w:val="00445E86"/>
    <w:rsid w:val="004552FF"/>
    <w:rsid w:val="00461158"/>
    <w:rsid w:val="00461F91"/>
    <w:rsid w:val="004733DD"/>
    <w:rsid w:val="00474E04"/>
    <w:rsid w:val="00483A8A"/>
    <w:rsid w:val="00485EFC"/>
    <w:rsid w:val="004918E5"/>
    <w:rsid w:val="00496EDE"/>
    <w:rsid w:val="004A7EA6"/>
    <w:rsid w:val="004B14BE"/>
    <w:rsid w:val="004B2E83"/>
    <w:rsid w:val="004B7F15"/>
    <w:rsid w:val="004C5488"/>
    <w:rsid w:val="004C6F06"/>
    <w:rsid w:val="004D0C5A"/>
    <w:rsid w:val="004E1396"/>
    <w:rsid w:val="004F74BA"/>
    <w:rsid w:val="004F7D38"/>
    <w:rsid w:val="00500EC9"/>
    <w:rsid w:val="0051079E"/>
    <w:rsid w:val="0051585B"/>
    <w:rsid w:val="00522C80"/>
    <w:rsid w:val="00561895"/>
    <w:rsid w:val="00563EBC"/>
    <w:rsid w:val="00586C3F"/>
    <w:rsid w:val="005B6A73"/>
    <w:rsid w:val="005C2A4C"/>
    <w:rsid w:val="005C75C5"/>
    <w:rsid w:val="005D12A0"/>
    <w:rsid w:val="005D3A4C"/>
    <w:rsid w:val="005D46D0"/>
    <w:rsid w:val="005D4B51"/>
    <w:rsid w:val="005F2C3F"/>
    <w:rsid w:val="00616361"/>
    <w:rsid w:val="006306ED"/>
    <w:rsid w:val="00633DC0"/>
    <w:rsid w:val="0063508E"/>
    <w:rsid w:val="006459CD"/>
    <w:rsid w:val="006469D1"/>
    <w:rsid w:val="00651276"/>
    <w:rsid w:val="00667BB9"/>
    <w:rsid w:val="00674A04"/>
    <w:rsid w:val="0067594B"/>
    <w:rsid w:val="0068601A"/>
    <w:rsid w:val="0069290C"/>
    <w:rsid w:val="006A4374"/>
    <w:rsid w:val="006C7A26"/>
    <w:rsid w:val="006D31C0"/>
    <w:rsid w:val="006D7111"/>
    <w:rsid w:val="006D7FF6"/>
    <w:rsid w:val="006E1171"/>
    <w:rsid w:val="006F069F"/>
    <w:rsid w:val="006F0971"/>
    <w:rsid w:val="006F5D50"/>
    <w:rsid w:val="00702DFA"/>
    <w:rsid w:val="007078EC"/>
    <w:rsid w:val="00714AA5"/>
    <w:rsid w:val="00715564"/>
    <w:rsid w:val="0072334C"/>
    <w:rsid w:val="00726502"/>
    <w:rsid w:val="00782957"/>
    <w:rsid w:val="00784993"/>
    <w:rsid w:val="007A084F"/>
    <w:rsid w:val="007A21F2"/>
    <w:rsid w:val="007B1D6E"/>
    <w:rsid w:val="007B54AC"/>
    <w:rsid w:val="007B54C7"/>
    <w:rsid w:val="007D35E2"/>
    <w:rsid w:val="00803933"/>
    <w:rsid w:val="00813B83"/>
    <w:rsid w:val="0083019C"/>
    <w:rsid w:val="00833479"/>
    <w:rsid w:val="00842C96"/>
    <w:rsid w:val="00844327"/>
    <w:rsid w:val="00854F81"/>
    <w:rsid w:val="008705F4"/>
    <w:rsid w:val="008873A0"/>
    <w:rsid w:val="008932D3"/>
    <w:rsid w:val="00895BEA"/>
    <w:rsid w:val="008A3497"/>
    <w:rsid w:val="008B0266"/>
    <w:rsid w:val="008B1872"/>
    <w:rsid w:val="008D5B57"/>
    <w:rsid w:val="008E392C"/>
    <w:rsid w:val="008F1C83"/>
    <w:rsid w:val="00903E8C"/>
    <w:rsid w:val="009059E4"/>
    <w:rsid w:val="00910B1B"/>
    <w:rsid w:val="00911823"/>
    <w:rsid w:val="00913F2A"/>
    <w:rsid w:val="00917A54"/>
    <w:rsid w:val="00922A24"/>
    <w:rsid w:val="0093220C"/>
    <w:rsid w:val="00944CA8"/>
    <w:rsid w:val="009511D8"/>
    <w:rsid w:val="00960983"/>
    <w:rsid w:val="00962935"/>
    <w:rsid w:val="009670DA"/>
    <w:rsid w:val="00971143"/>
    <w:rsid w:val="0097307A"/>
    <w:rsid w:val="009756BB"/>
    <w:rsid w:val="00983059"/>
    <w:rsid w:val="009905B0"/>
    <w:rsid w:val="009A5000"/>
    <w:rsid w:val="00A0085E"/>
    <w:rsid w:val="00A03D86"/>
    <w:rsid w:val="00A150AD"/>
    <w:rsid w:val="00A15604"/>
    <w:rsid w:val="00A172BF"/>
    <w:rsid w:val="00A26D12"/>
    <w:rsid w:val="00A43553"/>
    <w:rsid w:val="00A9138D"/>
    <w:rsid w:val="00AC01CE"/>
    <w:rsid w:val="00AC5391"/>
    <w:rsid w:val="00AC7F6A"/>
    <w:rsid w:val="00AD46C3"/>
    <w:rsid w:val="00AE1FEB"/>
    <w:rsid w:val="00AE36CF"/>
    <w:rsid w:val="00AF0B23"/>
    <w:rsid w:val="00AF58F3"/>
    <w:rsid w:val="00AF6D95"/>
    <w:rsid w:val="00B01659"/>
    <w:rsid w:val="00B03C24"/>
    <w:rsid w:val="00B11FBD"/>
    <w:rsid w:val="00B124EB"/>
    <w:rsid w:val="00B15549"/>
    <w:rsid w:val="00B20C01"/>
    <w:rsid w:val="00B21DE1"/>
    <w:rsid w:val="00B567D9"/>
    <w:rsid w:val="00B715BE"/>
    <w:rsid w:val="00B80C1F"/>
    <w:rsid w:val="00B81E83"/>
    <w:rsid w:val="00B82B57"/>
    <w:rsid w:val="00B968C1"/>
    <w:rsid w:val="00BA76AE"/>
    <w:rsid w:val="00BB3455"/>
    <w:rsid w:val="00BC0AD6"/>
    <w:rsid w:val="00BD2D3B"/>
    <w:rsid w:val="00BD50D9"/>
    <w:rsid w:val="00BD5CCD"/>
    <w:rsid w:val="00BD75AA"/>
    <w:rsid w:val="00BF2B8C"/>
    <w:rsid w:val="00C12A9D"/>
    <w:rsid w:val="00C206F4"/>
    <w:rsid w:val="00C26074"/>
    <w:rsid w:val="00C26431"/>
    <w:rsid w:val="00C35C35"/>
    <w:rsid w:val="00C40522"/>
    <w:rsid w:val="00C644DC"/>
    <w:rsid w:val="00C825C9"/>
    <w:rsid w:val="00C83B0A"/>
    <w:rsid w:val="00CB2C11"/>
    <w:rsid w:val="00CB5523"/>
    <w:rsid w:val="00CD479E"/>
    <w:rsid w:val="00CE1E0C"/>
    <w:rsid w:val="00CE277E"/>
    <w:rsid w:val="00CE4663"/>
    <w:rsid w:val="00CE7B7E"/>
    <w:rsid w:val="00CF0188"/>
    <w:rsid w:val="00CF2542"/>
    <w:rsid w:val="00D03F8C"/>
    <w:rsid w:val="00D0638D"/>
    <w:rsid w:val="00D141FE"/>
    <w:rsid w:val="00D23B91"/>
    <w:rsid w:val="00D44421"/>
    <w:rsid w:val="00D50E25"/>
    <w:rsid w:val="00D51BA3"/>
    <w:rsid w:val="00D5215C"/>
    <w:rsid w:val="00D56867"/>
    <w:rsid w:val="00D66A7D"/>
    <w:rsid w:val="00D6747F"/>
    <w:rsid w:val="00D71DA5"/>
    <w:rsid w:val="00D757B6"/>
    <w:rsid w:val="00D81C68"/>
    <w:rsid w:val="00D83CC7"/>
    <w:rsid w:val="00D84249"/>
    <w:rsid w:val="00D93FE3"/>
    <w:rsid w:val="00DB0572"/>
    <w:rsid w:val="00DB1D7C"/>
    <w:rsid w:val="00DB2498"/>
    <w:rsid w:val="00DC5287"/>
    <w:rsid w:val="00DD3ED8"/>
    <w:rsid w:val="00DE3069"/>
    <w:rsid w:val="00DF12C6"/>
    <w:rsid w:val="00DF34A6"/>
    <w:rsid w:val="00E02A7F"/>
    <w:rsid w:val="00E048B9"/>
    <w:rsid w:val="00E07880"/>
    <w:rsid w:val="00E14FD4"/>
    <w:rsid w:val="00E20873"/>
    <w:rsid w:val="00E20E63"/>
    <w:rsid w:val="00E25F3D"/>
    <w:rsid w:val="00E5217F"/>
    <w:rsid w:val="00E55366"/>
    <w:rsid w:val="00E6268A"/>
    <w:rsid w:val="00E702AE"/>
    <w:rsid w:val="00E82621"/>
    <w:rsid w:val="00E870E4"/>
    <w:rsid w:val="00E9040A"/>
    <w:rsid w:val="00EB0E64"/>
    <w:rsid w:val="00EB5855"/>
    <w:rsid w:val="00ED17F3"/>
    <w:rsid w:val="00ED733A"/>
    <w:rsid w:val="00ED7731"/>
    <w:rsid w:val="00EE1EBD"/>
    <w:rsid w:val="00EF304C"/>
    <w:rsid w:val="00F215D4"/>
    <w:rsid w:val="00F27C74"/>
    <w:rsid w:val="00F569E1"/>
    <w:rsid w:val="00F6031A"/>
    <w:rsid w:val="00F65FFC"/>
    <w:rsid w:val="00F70682"/>
    <w:rsid w:val="00F77C9A"/>
    <w:rsid w:val="00F77E39"/>
    <w:rsid w:val="00F807C8"/>
    <w:rsid w:val="00F809B9"/>
    <w:rsid w:val="00F87E97"/>
    <w:rsid w:val="00F9101F"/>
    <w:rsid w:val="00F95057"/>
    <w:rsid w:val="00FA3974"/>
    <w:rsid w:val="00FA3C73"/>
    <w:rsid w:val="00FB576C"/>
    <w:rsid w:val="00FB6115"/>
    <w:rsid w:val="00FC211A"/>
    <w:rsid w:val="00FD2AA6"/>
    <w:rsid w:val="00FE7E8A"/>
    <w:rsid w:val="00FF0DBB"/>
    <w:rsid w:val="01EF6C4D"/>
    <w:rsid w:val="029052FF"/>
    <w:rsid w:val="033E3981"/>
    <w:rsid w:val="0523112E"/>
    <w:rsid w:val="05694FE8"/>
    <w:rsid w:val="058420D4"/>
    <w:rsid w:val="05F41565"/>
    <w:rsid w:val="063532A4"/>
    <w:rsid w:val="087451E7"/>
    <w:rsid w:val="0B9B02A8"/>
    <w:rsid w:val="0C0D34C1"/>
    <w:rsid w:val="0E593352"/>
    <w:rsid w:val="0F6B359F"/>
    <w:rsid w:val="0FC32E16"/>
    <w:rsid w:val="11B25E26"/>
    <w:rsid w:val="11F62E21"/>
    <w:rsid w:val="128D521B"/>
    <w:rsid w:val="13A00991"/>
    <w:rsid w:val="13CE245D"/>
    <w:rsid w:val="160F7EF6"/>
    <w:rsid w:val="1649502A"/>
    <w:rsid w:val="173E5229"/>
    <w:rsid w:val="187A37A5"/>
    <w:rsid w:val="188056DA"/>
    <w:rsid w:val="189A4E3F"/>
    <w:rsid w:val="18BB11EA"/>
    <w:rsid w:val="18DE057F"/>
    <w:rsid w:val="19517DF8"/>
    <w:rsid w:val="1AA50A05"/>
    <w:rsid w:val="1BA710FC"/>
    <w:rsid w:val="1BD812BE"/>
    <w:rsid w:val="1C496BB4"/>
    <w:rsid w:val="1D0F3847"/>
    <w:rsid w:val="1DEA1774"/>
    <w:rsid w:val="1E320B00"/>
    <w:rsid w:val="1F0331D0"/>
    <w:rsid w:val="204626E6"/>
    <w:rsid w:val="24082954"/>
    <w:rsid w:val="24092201"/>
    <w:rsid w:val="24C519AF"/>
    <w:rsid w:val="25CF4A56"/>
    <w:rsid w:val="2A6D3CC7"/>
    <w:rsid w:val="2BA440A5"/>
    <w:rsid w:val="2D273B50"/>
    <w:rsid w:val="2E9641A3"/>
    <w:rsid w:val="3005243D"/>
    <w:rsid w:val="334C12DB"/>
    <w:rsid w:val="34070794"/>
    <w:rsid w:val="34783789"/>
    <w:rsid w:val="352007D7"/>
    <w:rsid w:val="382A2F88"/>
    <w:rsid w:val="386F5715"/>
    <w:rsid w:val="39134A56"/>
    <w:rsid w:val="3A6F5B93"/>
    <w:rsid w:val="3AC13E86"/>
    <w:rsid w:val="3B4A33FA"/>
    <w:rsid w:val="3CED77C6"/>
    <w:rsid w:val="3D970A33"/>
    <w:rsid w:val="3E7C38C4"/>
    <w:rsid w:val="3F1F210A"/>
    <w:rsid w:val="3FA100C3"/>
    <w:rsid w:val="40D0560C"/>
    <w:rsid w:val="41BE4D1E"/>
    <w:rsid w:val="434846C3"/>
    <w:rsid w:val="45EF000C"/>
    <w:rsid w:val="48BC677F"/>
    <w:rsid w:val="4949341B"/>
    <w:rsid w:val="49C1352F"/>
    <w:rsid w:val="4A9A5331"/>
    <w:rsid w:val="4B5D2CD5"/>
    <w:rsid w:val="4F4D221F"/>
    <w:rsid w:val="4F7F76BE"/>
    <w:rsid w:val="4F8B450F"/>
    <w:rsid w:val="50D13D54"/>
    <w:rsid w:val="51145BE4"/>
    <w:rsid w:val="51985975"/>
    <w:rsid w:val="51DF28CE"/>
    <w:rsid w:val="51EC0670"/>
    <w:rsid w:val="55E60710"/>
    <w:rsid w:val="56C3344C"/>
    <w:rsid w:val="58777444"/>
    <w:rsid w:val="59BA2DDB"/>
    <w:rsid w:val="5B19615E"/>
    <w:rsid w:val="5BF15902"/>
    <w:rsid w:val="5BF34234"/>
    <w:rsid w:val="5CE80979"/>
    <w:rsid w:val="5D7E65B4"/>
    <w:rsid w:val="5E21225D"/>
    <w:rsid w:val="5EB852BA"/>
    <w:rsid w:val="5FEC48FC"/>
    <w:rsid w:val="62E651C4"/>
    <w:rsid w:val="63A70B3A"/>
    <w:rsid w:val="64896320"/>
    <w:rsid w:val="651E49ED"/>
    <w:rsid w:val="66214CD1"/>
    <w:rsid w:val="690647A8"/>
    <w:rsid w:val="691C5BDB"/>
    <w:rsid w:val="6C300ACE"/>
    <w:rsid w:val="6DA12925"/>
    <w:rsid w:val="710C6E29"/>
    <w:rsid w:val="73401124"/>
    <w:rsid w:val="738A1455"/>
    <w:rsid w:val="78340141"/>
    <w:rsid w:val="79B31B5C"/>
    <w:rsid w:val="79D02741"/>
    <w:rsid w:val="7A5404F2"/>
    <w:rsid w:val="7A8E2680"/>
    <w:rsid w:val="7DE231A8"/>
    <w:rsid w:val="7F3F0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unhideWhenUsed/>
    <w:qFormat/>
    <w:uiPriority w:val="99"/>
    <w:pPr>
      <w:jc w:val="left"/>
    </w:pPr>
  </w:style>
  <w:style w:type="paragraph" w:styleId="4">
    <w:name w:val="Plain Text"/>
    <w:basedOn w:val="1"/>
    <w:link w:val="17"/>
    <w:qFormat/>
    <w:uiPriority w:val="0"/>
    <w:rPr>
      <w:rFonts w:ascii="宋体" w:hAnsi="Courier New"/>
      <w:szCs w:val="21"/>
    </w:rPr>
  </w:style>
  <w:style w:type="paragraph" w:styleId="5">
    <w:name w:val="Balloon Text"/>
    <w:basedOn w:val="1"/>
    <w:link w:val="13"/>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6"/>
    <w:qFormat/>
    <w:uiPriority w:val="0"/>
    <w:pPr>
      <w:snapToGrid w:val="0"/>
      <w:spacing w:line="440" w:lineRule="exact"/>
      <w:ind w:firstLine="420" w:firstLineChars="200"/>
    </w:pPr>
    <w:rPr>
      <w:rFonts w:ascii="宋体" w:hAnsi="宋体"/>
      <w:szCs w:val="21"/>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2">
    <w:name w:val="page number"/>
    <w:basedOn w:val="11"/>
    <w:qFormat/>
    <w:uiPriority w:val="0"/>
  </w:style>
  <w:style w:type="character" w:customStyle="1" w:styleId="13">
    <w:name w:val="批注框文本 Char"/>
    <w:link w:val="5"/>
    <w:semiHidden/>
    <w:qFormat/>
    <w:uiPriority w:val="99"/>
    <w:rPr>
      <w:kern w:val="2"/>
      <w:sz w:val="18"/>
      <w:szCs w:val="18"/>
    </w:rPr>
  </w:style>
  <w:style w:type="character" w:customStyle="1" w:styleId="14">
    <w:name w:val="纯文本 Char1"/>
    <w:qFormat/>
    <w:uiPriority w:val="0"/>
    <w:rPr>
      <w:rFonts w:ascii="宋体" w:hAnsi="Courier New" w:cs="Courier New"/>
      <w:kern w:val="2"/>
      <w:sz w:val="21"/>
      <w:szCs w:val="21"/>
    </w:rPr>
  </w:style>
  <w:style w:type="character" w:customStyle="1" w:styleId="15">
    <w:name w:val="页脚 Char"/>
    <w:link w:val="6"/>
    <w:qFormat/>
    <w:uiPriority w:val="99"/>
    <w:rPr>
      <w:kern w:val="2"/>
      <w:sz w:val="18"/>
      <w:szCs w:val="18"/>
    </w:rPr>
  </w:style>
  <w:style w:type="character" w:customStyle="1" w:styleId="16">
    <w:name w:val="正文文本缩进 3 Char"/>
    <w:link w:val="8"/>
    <w:qFormat/>
    <w:uiPriority w:val="0"/>
    <w:rPr>
      <w:rFonts w:ascii="宋体" w:hAnsi="宋体"/>
      <w:kern w:val="2"/>
      <w:sz w:val="21"/>
      <w:szCs w:val="21"/>
    </w:rPr>
  </w:style>
  <w:style w:type="character" w:customStyle="1" w:styleId="17">
    <w:name w:val="纯文本 Char"/>
    <w:link w:val="4"/>
    <w:qFormat/>
    <w:uiPriority w:val="0"/>
    <w:rPr>
      <w:rFonts w:ascii="宋体" w:hAnsi="Courier New" w:cs="Courier New"/>
      <w:kern w:val="2"/>
      <w:sz w:val="21"/>
      <w:szCs w:val="21"/>
    </w:rPr>
  </w:style>
  <w:style w:type="character" w:customStyle="1" w:styleId="18">
    <w:name w:val="页眉 Char"/>
    <w:link w:val="7"/>
    <w:qFormat/>
    <w:uiPriority w:val="99"/>
    <w:rPr>
      <w:kern w:val="2"/>
      <w:sz w:val="18"/>
      <w:szCs w:val="18"/>
    </w:rPr>
  </w:style>
  <w:style w:type="character" w:customStyle="1" w:styleId="19">
    <w:name w:val="表格 Char"/>
    <w:link w:val="20"/>
    <w:qFormat/>
    <w:uiPriority w:val="0"/>
    <w:rPr>
      <w:rFonts w:ascii="仿宋_GB2312" w:cs="宋体"/>
      <w:color w:val="000000"/>
      <w:sz w:val="21"/>
      <w:szCs w:val="24"/>
    </w:rPr>
  </w:style>
  <w:style w:type="paragraph" w:customStyle="1" w:styleId="20">
    <w:name w:val="表格"/>
    <w:basedOn w:val="1"/>
    <w:link w:val="19"/>
    <w:qFormat/>
    <w:uiPriority w:val="0"/>
    <w:pPr>
      <w:adjustRightInd w:val="0"/>
      <w:snapToGrid w:val="0"/>
      <w:jc w:val="center"/>
    </w:pPr>
    <w:rPr>
      <w:rFonts w:ascii="仿宋_GB2312"/>
      <w:color w:val="000000"/>
      <w:kern w:val="0"/>
    </w:rPr>
  </w:style>
  <w:style w:type="paragraph" w:customStyle="1" w:styleId="21">
    <w:name w:val="正文+宋体"/>
    <w:basedOn w:val="1"/>
    <w:qFormat/>
    <w:uiPriority w:val="99"/>
  </w:style>
  <w:style w:type="paragraph" w:customStyle="1" w:styleId="22">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736</Words>
  <Characters>1201</Characters>
  <Lines>21</Lines>
  <Paragraphs>5</Paragraphs>
  <TotalTime>0</TotalTime>
  <ScaleCrop>false</ScaleCrop>
  <LinksUpToDate>false</LinksUpToDate>
  <CharactersWithSpaces>1246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2021-12-27T09:17:00Z</dcterms:created>
  <dc:creator>Legend User</dc:creator>
  <cp:lastModifiedBy>Becky 在路上</cp:lastModifiedBy>
  <cp:lastPrinted>2022-02-14T08:53:00Z</cp:lastPrinted>
  <dcterms:modified xsi:type="dcterms:W3CDTF">2025-03-29T13:49:48Z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71EED798D7614C89AD03FB581FC11771</vt:lpwstr>
  </property>
  <property fmtid="{D5CDD505-2E9C-101B-9397-08002B2CF9AE}" pid="4" name="KSOTemplateDocerSaveRecord">
    <vt:lpwstr>eyJoZGlkIjoiMDQxMzAwZWM4NDU3YmMyMjJhOWFkMTAxMmJiMWFhOTEiLCJ1c2VySWQiOiI1MDQ3MjMzMDIifQ==</vt:lpwstr>
  </property>
</Properties>
</file>