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hAnsi="仿宋" w:eastAsia="方正小标宋简体" w:cs="方正仿宋简体"/>
          <w:sz w:val="32"/>
          <w:szCs w:val="32"/>
          <w:lang w:bidi="ar"/>
        </w:rPr>
      </w:pPr>
      <w:r>
        <w:rPr>
          <w:rFonts w:hint="eastAsia" w:ascii="方正小标宋简体" w:hAnsi="仿宋" w:eastAsia="方正小标宋简体" w:cs="方正仿宋简体"/>
          <w:sz w:val="32"/>
          <w:szCs w:val="32"/>
          <w:lang w:bidi="ar"/>
        </w:rPr>
        <w:t>重庆市棕纤维弹性床垫产</w:t>
      </w:r>
      <w:bookmarkStart w:id="0" w:name="_GoBack"/>
      <w:bookmarkEnd w:id="0"/>
      <w:r>
        <w:rPr>
          <w:rFonts w:hint="eastAsia" w:ascii="方正小标宋简体" w:hAnsi="仿宋" w:eastAsia="方正小标宋简体" w:cs="方正仿宋简体"/>
          <w:sz w:val="32"/>
          <w:szCs w:val="32"/>
          <w:lang w:bidi="ar"/>
        </w:rPr>
        <w:t>品质量监督抽查实施细则</w:t>
      </w:r>
    </w:p>
    <w:p>
      <w:pPr>
        <w:snapToGrid w:val="0"/>
        <w:spacing w:line="360" w:lineRule="auto"/>
        <w:jc w:val="center"/>
        <w:rPr>
          <w:rFonts w:hint="eastAsia" w:ascii="方正小标宋简体" w:hAnsi="仿宋" w:eastAsia="方正小标宋简体" w:cs="方正仿宋简体"/>
          <w:sz w:val="32"/>
          <w:szCs w:val="32"/>
          <w:lang w:bidi="ar"/>
        </w:rPr>
      </w:pPr>
      <w:r>
        <w:rPr>
          <w:rFonts w:hint="eastAsia" w:ascii="方正小标宋简体" w:hAnsi="仿宋" w:eastAsia="方正小标宋简体" w:cs="方正仿宋简体"/>
          <w:sz w:val="32"/>
          <w:szCs w:val="32"/>
          <w:lang w:bidi="ar"/>
        </w:rPr>
        <w:t>（202</w:t>
      </w:r>
      <w:r>
        <w:rPr>
          <w:rFonts w:hint="eastAsia" w:ascii="方正小标宋简体" w:hAnsi="仿宋" w:eastAsia="方正小标宋简体" w:cs="方正仿宋简体"/>
          <w:sz w:val="32"/>
          <w:szCs w:val="32"/>
          <w:lang w:val="en-US" w:eastAsia="zh-CN" w:bidi="ar"/>
        </w:rPr>
        <w:t>4</w:t>
      </w:r>
      <w:r>
        <w:rPr>
          <w:rFonts w:hint="eastAsia" w:ascii="方正小标宋简体" w:hAnsi="仿宋" w:eastAsia="方正小标宋简体" w:cs="方正仿宋简体"/>
          <w:sz w:val="32"/>
          <w:szCs w:val="32"/>
          <w:lang w:bidi="ar"/>
        </w:rPr>
        <w:t>年版）</w:t>
      </w:r>
    </w:p>
    <w:p>
      <w:pPr>
        <w:snapToGrid w:val="0"/>
        <w:spacing w:line="360" w:lineRule="auto"/>
        <w:jc w:val="left"/>
        <w:rPr>
          <w:rFonts w:hint="eastAsia" w:ascii="方正小标宋简体" w:hAnsi="仿宋" w:eastAsia="方正小标宋简体" w:cs="方正仿宋简体"/>
          <w:color w:val="000000"/>
          <w:szCs w:val="21"/>
        </w:rPr>
      </w:pPr>
    </w:p>
    <w:p>
      <w:pPr>
        <w:snapToGrid w:val="0"/>
        <w:spacing w:line="360" w:lineRule="auto"/>
        <w:jc w:val="lef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每批次抽取样品2件，其中1件作为检验样品，1件作为备用样品。</w:t>
      </w:r>
    </w:p>
    <w:p>
      <w:pPr>
        <w:snapToGrid w:val="0"/>
        <w:spacing w:line="440" w:lineRule="exact"/>
        <w:ind w:firstLine="420" w:firstLineChars="200"/>
        <w:rPr>
          <w:rFonts w:ascii="宋体" w:hAnsi="宋体"/>
          <w:color w:val="000000"/>
          <w:szCs w:val="21"/>
        </w:rPr>
      </w:pPr>
    </w:p>
    <w:p>
      <w:pPr>
        <w:snapToGrid w:val="0"/>
        <w:spacing w:line="440" w:lineRule="exact"/>
        <w:outlineLvl w:val="0"/>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outlineLvl w:val="0"/>
        <w:rPr>
          <w:rFonts w:hint="eastAsia" w:ascii="黑体" w:hAnsi="宋体" w:eastAsia="黑体"/>
          <w:color w:val="000000"/>
          <w:szCs w:val="21"/>
        </w:rPr>
      </w:pPr>
    </w:p>
    <w:tbl>
      <w:tblPr>
        <w:tblStyle w:val="7"/>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163"/>
        <w:gridCol w:w="3229"/>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r>
              <w:rPr>
                <w:rFonts w:ascii="Times New Roman" w:hAnsi="Times New Roman"/>
                <w:color w:val="000000"/>
                <w:kern w:val="2"/>
                <w:sz w:val="21"/>
                <w:szCs w:val="21"/>
              </w:rPr>
              <w:t>序号</w:t>
            </w:r>
          </w:p>
        </w:tc>
        <w:tc>
          <w:tcPr>
            <w:tcW w:w="5392" w:type="dxa"/>
            <w:gridSpan w:val="2"/>
            <w:noWrap w:val="0"/>
            <w:vAlign w:val="center"/>
          </w:tcPr>
          <w:p>
            <w:pPr>
              <w:pStyle w:val="3"/>
              <w:jc w:val="center"/>
              <w:rPr>
                <w:rFonts w:ascii="Times New Roman" w:hAnsi="Times New Roman"/>
                <w:color w:val="000000"/>
                <w:kern w:val="2"/>
                <w:sz w:val="21"/>
                <w:szCs w:val="21"/>
              </w:rPr>
            </w:pPr>
            <w:r>
              <w:rPr>
                <w:rFonts w:ascii="Times New Roman" w:hAnsi="Times New Roman"/>
                <w:color w:val="000000"/>
                <w:kern w:val="2"/>
                <w:sz w:val="21"/>
                <w:szCs w:val="21"/>
              </w:rPr>
              <w:t>检验项目</w:t>
            </w:r>
          </w:p>
        </w:tc>
        <w:tc>
          <w:tcPr>
            <w:tcW w:w="2970" w:type="dxa"/>
            <w:noWrap w:val="0"/>
            <w:vAlign w:val="center"/>
          </w:tcPr>
          <w:p>
            <w:pPr>
              <w:pStyle w:val="3"/>
              <w:jc w:val="center"/>
              <w:rPr>
                <w:rFonts w:ascii="Times New Roman" w:hAnsi="Times New Roman"/>
                <w:color w:val="000000"/>
                <w:kern w:val="2"/>
                <w:sz w:val="21"/>
                <w:szCs w:val="21"/>
              </w:rPr>
            </w:pPr>
            <w:r>
              <w:rPr>
                <w:rFonts w:ascii="Times New Roman" w:hAnsi="Times New Roman"/>
                <w:color w:val="000000"/>
                <w:kern w:val="2"/>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812"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r>
              <w:rPr>
                <w:rFonts w:ascii="Times New Roman" w:hAnsi="Times New Roman"/>
                <w:color w:val="000000"/>
                <w:kern w:val="2"/>
                <w:sz w:val="21"/>
                <w:szCs w:val="21"/>
              </w:rPr>
              <w:t>1</w:t>
            </w:r>
          </w:p>
        </w:tc>
        <w:tc>
          <w:tcPr>
            <w:tcW w:w="5392" w:type="dxa"/>
            <w:gridSpan w:val="2"/>
            <w:noWrap w:val="0"/>
            <w:vAlign w:val="center"/>
          </w:tcPr>
          <w:p>
            <w:pPr>
              <w:jc w:val="center"/>
              <w:rPr>
                <w:color w:val="000000"/>
                <w:szCs w:val="21"/>
              </w:rPr>
            </w:pPr>
            <w:r>
              <w:rPr>
                <w:color w:val="000000"/>
                <w:szCs w:val="21"/>
              </w:rPr>
              <w:t>面料及复合面料物理性能（耐摩擦色牢度）</w:t>
            </w:r>
          </w:p>
        </w:tc>
        <w:tc>
          <w:tcPr>
            <w:tcW w:w="2970" w:type="dxa"/>
            <w:noWrap w:val="0"/>
            <w:vAlign w:val="center"/>
          </w:tcPr>
          <w:p>
            <w:pPr>
              <w:jc w:val="center"/>
              <w:rPr>
                <w:color w:val="000000"/>
                <w:szCs w:val="21"/>
              </w:rPr>
            </w:pPr>
            <w:r>
              <w:rPr>
                <w:color w:val="000000"/>
                <w:szCs w:val="21"/>
              </w:rPr>
              <w:t>GB/T 3920</w:t>
            </w:r>
            <w:r>
              <w:rPr>
                <w:rFonts w:hint="eastAsia"/>
                <w:color w:val="000000"/>
                <w:szCs w:val="21"/>
              </w:rPr>
              <w:t>—</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12" w:type="dxa"/>
            <w:vMerge w:val="restart"/>
            <w:tcBorders>
              <w:top w:val="single" w:color="auto" w:sz="4" w:space="0"/>
              <w:left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r>
              <w:rPr>
                <w:rFonts w:ascii="Times New Roman" w:hAnsi="Times New Roman"/>
                <w:color w:val="000000"/>
                <w:kern w:val="2"/>
                <w:sz w:val="21"/>
                <w:szCs w:val="21"/>
              </w:rPr>
              <w:t>2</w:t>
            </w:r>
          </w:p>
        </w:tc>
        <w:tc>
          <w:tcPr>
            <w:tcW w:w="2163" w:type="dxa"/>
            <w:vMerge w:val="restart"/>
            <w:noWrap w:val="0"/>
            <w:vAlign w:val="center"/>
          </w:tcPr>
          <w:p>
            <w:pPr>
              <w:jc w:val="center"/>
              <w:rPr>
                <w:color w:val="000000"/>
                <w:szCs w:val="21"/>
              </w:rPr>
            </w:pPr>
            <w:r>
              <w:rPr>
                <w:color w:val="000000"/>
                <w:szCs w:val="21"/>
              </w:rPr>
              <w:t>芯料物理性能</w:t>
            </w:r>
          </w:p>
        </w:tc>
        <w:tc>
          <w:tcPr>
            <w:tcW w:w="3229" w:type="dxa"/>
            <w:noWrap w:val="0"/>
            <w:vAlign w:val="center"/>
          </w:tcPr>
          <w:p>
            <w:pPr>
              <w:jc w:val="center"/>
              <w:rPr>
                <w:color w:val="000000"/>
                <w:szCs w:val="21"/>
              </w:rPr>
            </w:pPr>
            <w:r>
              <w:rPr>
                <w:color w:val="000000"/>
                <w:szCs w:val="21"/>
              </w:rPr>
              <w:t>含水率</w:t>
            </w:r>
          </w:p>
        </w:tc>
        <w:tc>
          <w:tcPr>
            <w:tcW w:w="2970" w:type="dxa"/>
            <w:noWrap w:val="0"/>
            <w:vAlign w:val="center"/>
          </w:tcPr>
          <w:p>
            <w:pPr>
              <w:jc w:val="center"/>
              <w:rPr>
                <w:color w:val="000000"/>
                <w:szCs w:val="21"/>
              </w:rPr>
            </w:pPr>
            <w:r>
              <w:rPr>
                <w:color w:val="000000"/>
                <w:szCs w:val="21"/>
              </w:rPr>
              <w:t>GB/T 26706</w:t>
            </w:r>
            <w:r>
              <w:rPr>
                <w:rFonts w:hint="eastAsia"/>
                <w:color w:val="000000"/>
                <w:szCs w:val="21"/>
              </w:rPr>
              <w:t>—</w:t>
            </w:r>
            <w:r>
              <w:rPr>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12" w:type="dxa"/>
            <w:vMerge w:val="continue"/>
            <w:tcBorders>
              <w:left w:val="single" w:color="auto" w:sz="4" w:space="0"/>
              <w:bottom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p>
        </w:tc>
        <w:tc>
          <w:tcPr>
            <w:tcW w:w="2163" w:type="dxa"/>
            <w:vMerge w:val="continue"/>
            <w:noWrap w:val="0"/>
            <w:vAlign w:val="center"/>
          </w:tcPr>
          <w:p>
            <w:pPr>
              <w:jc w:val="center"/>
              <w:rPr>
                <w:color w:val="000000"/>
                <w:szCs w:val="21"/>
              </w:rPr>
            </w:pPr>
          </w:p>
        </w:tc>
        <w:tc>
          <w:tcPr>
            <w:tcW w:w="3229" w:type="dxa"/>
            <w:noWrap w:val="0"/>
            <w:vAlign w:val="center"/>
          </w:tcPr>
          <w:p>
            <w:pPr>
              <w:jc w:val="center"/>
              <w:rPr>
                <w:color w:val="000000"/>
                <w:szCs w:val="21"/>
              </w:rPr>
            </w:pPr>
            <w:r>
              <w:rPr>
                <w:color w:val="000000"/>
                <w:szCs w:val="21"/>
              </w:rPr>
              <w:t>压缩永久变形率</w:t>
            </w:r>
          </w:p>
        </w:tc>
        <w:tc>
          <w:tcPr>
            <w:tcW w:w="2970" w:type="dxa"/>
            <w:noWrap w:val="0"/>
            <w:vAlign w:val="center"/>
          </w:tcPr>
          <w:p>
            <w:pPr>
              <w:jc w:val="center"/>
              <w:rPr>
                <w:color w:val="000000"/>
                <w:szCs w:val="21"/>
              </w:rPr>
            </w:pPr>
            <w:r>
              <w:rPr>
                <w:color w:val="000000"/>
                <w:szCs w:val="21"/>
              </w:rPr>
              <w:t>GB/T 26706</w:t>
            </w:r>
            <w:r>
              <w:rPr>
                <w:rFonts w:hint="eastAsia"/>
                <w:color w:val="000000"/>
                <w:szCs w:val="21"/>
              </w:rPr>
              <w:t>—</w:t>
            </w:r>
            <w:r>
              <w:rPr>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812" w:type="dxa"/>
            <w:vMerge w:val="restart"/>
            <w:tcBorders>
              <w:top w:val="single" w:color="auto" w:sz="4" w:space="0"/>
              <w:left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r>
              <w:rPr>
                <w:rFonts w:ascii="Times New Roman" w:hAnsi="Times New Roman"/>
                <w:color w:val="000000"/>
                <w:kern w:val="2"/>
                <w:sz w:val="21"/>
                <w:szCs w:val="21"/>
              </w:rPr>
              <w:t>3</w:t>
            </w:r>
          </w:p>
        </w:tc>
        <w:tc>
          <w:tcPr>
            <w:tcW w:w="2163" w:type="dxa"/>
            <w:vMerge w:val="restart"/>
            <w:noWrap w:val="0"/>
            <w:vAlign w:val="center"/>
          </w:tcPr>
          <w:p>
            <w:pPr>
              <w:jc w:val="center"/>
              <w:rPr>
                <w:color w:val="000000"/>
                <w:szCs w:val="21"/>
              </w:rPr>
            </w:pPr>
            <w:r>
              <w:rPr>
                <w:color w:val="000000"/>
                <w:szCs w:val="21"/>
              </w:rPr>
              <w:t>安全卫生要求</w:t>
            </w:r>
          </w:p>
        </w:tc>
        <w:tc>
          <w:tcPr>
            <w:tcW w:w="3229" w:type="dxa"/>
            <w:noWrap w:val="0"/>
            <w:vAlign w:val="center"/>
          </w:tcPr>
          <w:p>
            <w:pPr>
              <w:jc w:val="center"/>
              <w:rPr>
                <w:color w:val="000000"/>
                <w:szCs w:val="21"/>
              </w:rPr>
            </w:pPr>
            <w:r>
              <w:rPr>
                <w:rFonts w:hint="eastAsia"/>
                <w:color w:val="000000"/>
                <w:szCs w:val="21"/>
              </w:rPr>
              <w:t>（表3—序号3</w:t>
            </w:r>
            <w:r>
              <w:rPr>
                <w:color w:val="000000"/>
                <w:szCs w:val="21"/>
              </w:rPr>
              <w:t>1</w:t>
            </w:r>
            <w:r>
              <w:rPr>
                <w:rFonts w:hint="eastAsia"/>
                <w:color w:val="000000"/>
                <w:szCs w:val="21"/>
              </w:rPr>
              <w:t>、3</w:t>
            </w:r>
            <w:r>
              <w:rPr>
                <w:color w:val="000000"/>
                <w:szCs w:val="21"/>
              </w:rPr>
              <w:t>3~37</w:t>
            </w:r>
            <w:r>
              <w:rPr>
                <w:rFonts w:hint="eastAsia"/>
                <w:color w:val="000000"/>
                <w:szCs w:val="21"/>
              </w:rPr>
              <w:t>）</w:t>
            </w:r>
          </w:p>
        </w:tc>
        <w:tc>
          <w:tcPr>
            <w:tcW w:w="2970" w:type="dxa"/>
            <w:noWrap w:val="0"/>
            <w:vAlign w:val="center"/>
          </w:tcPr>
          <w:p>
            <w:pPr>
              <w:jc w:val="center"/>
              <w:rPr>
                <w:color w:val="000000"/>
                <w:szCs w:val="21"/>
              </w:rPr>
            </w:pPr>
            <w:r>
              <w:rPr>
                <w:color w:val="000000"/>
                <w:szCs w:val="21"/>
              </w:rPr>
              <w:t>GB/T 26706</w:t>
            </w:r>
            <w:r>
              <w:rPr>
                <w:rFonts w:hint="eastAsia"/>
                <w:color w:val="000000"/>
                <w:szCs w:val="21"/>
              </w:rPr>
              <w:t>—</w:t>
            </w:r>
            <w:r>
              <w:rPr>
                <w:color w:val="000000"/>
                <w:szCs w:val="21"/>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12" w:type="dxa"/>
            <w:vMerge w:val="continue"/>
            <w:tcBorders>
              <w:left w:val="single" w:color="auto" w:sz="4" w:space="0"/>
              <w:bottom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p>
        </w:tc>
        <w:tc>
          <w:tcPr>
            <w:tcW w:w="2163" w:type="dxa"/>
            <w:vMerge w:val="continue"/>
            <w:noWrap w:val="0"/>
            <w:vAlign w:val="center"/>
          </w:tcPr>
          <w:p>
            <w:pPr>
              <w:jc w:val="center"/>
              <w:rPr>
                <w:color w:val="000000"/>
                <w:szCs w:val="21"/>
              </w:rPr>
            </w:pPr>
          </w:p>
        </w:tc>
        <w:tc>
          <w:tcPr>
            <w:tcW w:w="3229" w:type="dxa"/>
            <w:noWrap w:val="0"/>
            <w:vAlign w:val="center"/>
          </w:tcPr>
          <w:p>
            <w:pPr>
              <w:jc w:val="center"/>
              <w:rPr>
                <w:color w:val="000000"/>
                <w:szCs w:val="21"/>
              </w:rPr>
            </w:pPr>
            <w:r>
              <w:rPr>
                <w:rFonts w:hint="eastAsia"/>
                <w:color w:val="000000"/>
                <w:szCs w:val="21"/>
              </w:rPr>
              <w:t>（表3—序号</w:t>
            </w:r>
            <w:r>
              <w:rPr>
                <w:color w:val="000000"/>
                <w:szCs w:val="21"/>
              </w:rPr>
              <w:t>38</w:t>
            </w:r>
            <w:r>
              <w:rPr>
                <w:rFonts w:hint="eastAsia"/>
                <w:color w:val="000000"/>
                <w:szCs w:val="21"/>
              </w:rPr>
              <w:t>）</w:t>
            </w:r>
          </w:p>
        </w:tc>
        <w:tc>
          <w:tcPr>
            <w:tcW w:w="2970" w:type="dxa"/>
            <w:noWrap w:val="0"/>
            <w:vAlign w:val="center"/>
          </w:tcPr>
          <w:p>
            <w:pPr>
              <w:jc w:val="center"/>
              <w:rPr>
                <w:rFonts w:hint="eastAsia"/>
                <w:color w:val="000000"/>
                <w:szCs w:val="21"/>
              </w:rPr>
            </w:pPr>
            <w:r>
              <w:rPr>
                <w:rFonts w:hint="eastAsia"/>
                <w:color w:val="000000"/>
                <w:szCs w:val="21"/>
              </w:rPr>
              <w:t>QB/T 1952.2-2011</w:t>
            </w:r>
          </w:p>
          <w:p>
            <w:pPr>
              <w:jc w:val="center"/>
              <w:rPr>
                <w:rFonts w:hint="eastAsia"/>
                <w:color w:val="000000"/>
                <w:szCs w:val="21"/>
              </w:rPr>
            </w:pPr>
            <w:r>
              <w:rPr>
                <w:rFonts w:hint="eastAsia"/>
                <w:color w:val="000000"/>
                <w:szCs w:val="21"/>
              </w:rPr>
              <w:t>GB 18587-2001</w:t>
            </w:r>
          </w:p>
          <w:p>
            <w:pPr>
              <w:jc w:val="center"/>
              <w:rPr>
                <w:rFonts w:hint="eastAsia"/>
                <w:color w:val="000000"/>
                <w:szCs w:val="21"/>
              </w:rPr>
            </w:pPr>
            <w:r>
              <w:rPr>
                <w:rFonts w:hint="eastAsia"/>
                <w:color w:val="000000"/>
                <w:szCs w:val="21"/>
              </w:rPr>
              <w:t>GB/T 18204.26-2000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12" w:type="dxa"/>
            <w:tcBorders>
              <w:left w:val="single" w:color="auto" w:sz="4" w:space="0"/>
              <w:bottom w:val="single" w:color="auto" w:sz="4" w:space="0"/>
              <w:right w:val="single" w:color="auto" w:sz="4" w:space="0"/>
            </w:tcBorders>
            <w:noWrap w:val="0"/>
            <w:vAlign w:val="center"/>
          </w:tcPr>
          <w:p>
            <w:pPr>
              <w:pStyle w:val="3"/>
              <w:jc w:val="center"/>
              <w:rPr>
                <w:rFonts w:ascii="Times New Roman" w:hAnsi="Times New Roman"/>
                <w:color w:val="000000"/>
                <w:kern w:val="2"/>
                <w:sz w:val="21"/>
                <w:szCs w:val="21"/>
              </w:rPr>
            </w:pPr>
            <w:r>
              <w:rPr>
                <w:rFonts w:hint="eastAsia" w:ascii="Times New Roman" w:hAnsi="Times New Roman"/>
                <w:color w:val="000000"/>
                <w:kern w:val="2"/>
                <w:sz w:val="21"/>
                <w:szCs w:val="21"/>
              </w:rPr>
              <w:t>4</w:t>
            </w:r>
          </w:p>
        </w:tc>
        <w:tc>
          <w:tcPr>
            <w:tcW w:w="5392" w:type="dxa"/>
            <w:gridSpan w:val="2"/>
            <w:noWrap w:val="0"/>
            <w:vAlign w:val="center"/>
          </w:tcPr>
          <w:p>
            <w:pPr>
              <w:jc w:val="center"/>
              <w:rPr>
                <w:rFonts w:hint="eastAsia"/>
                <w:color w:val="000000"/>
                <w:szCs w:val="21"/>
              </w:rPr>
            </w:pPr>
            <w:r>
              <w:rPr>
                <w:rFonts w:hint="eastAsia"/>
                <w:color w:val="000000"/>
                <w:szCs w:val="21"/>
              </w:rPr>
              <w:t>阻燃性要求</w:t>
            </w:r>
          </w:p>
        </w:tc>
        <w:tc>
          <w:tcPr>
            <w:tcW w:w="2970" w:type="dxa"/>
            <w:noWrap w:val="0"/>
            <w:vAlign w:val="center"/>
          </w:tcPr>
          <w:p>
            <w:pPr>
              <w:jc w:val="center"/>
              <w:rPr>
                <w:rFonts w:hint="eastAsia"/>
                <w:color w:val="000000"/>
                <w:szCs w:val="21"/>
              </w:rPr>
            </w:pPr>
            <w:r>
              <w:rPr>
                <w:rFonts w:hint="eastAsia"/>
                <w:color w:val="000000"/>
                <w:szCs w:val="21"/>
              </w:rPr>
              <w:t>GB 17927.1—2011</w:t>
            </w:r>
          </w:p>
          <w:p>
            <w:pPr>
              <w:jc w:val="center"/>
              <w:rPr>
                <w:color w:val="000000"/>
                <w:szCs w:val="21"/>
              </w:rPr>
            </w:pPr>
            <w:r>
              <w:rPr>
                <w:rFonts w:hint="eastAsia"/>
                <w:color w:val="000000"/>
                <w:szCs w:val="21"/>
              </w:rPr>
              <w:t>GB 17927.2—2011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812" w:type="dxa"/>
            <w:tcBorders>
              <w:left w:val="single" w:color="auto" w:sz="4" w:space="0"/>
              <w:bottom w:val="single" w:color="auto" w:sz="4" w:space="0"/>
              <w:right w:val="single" w:color="auto" w:sz="4" w:space="0"/>
            </w:tcBorders>
            <w:noWrap w:val="0"/>
            <w:vAlign w:val="center"/>
          </w:tcPr>
          <w:p>
            <w:pPr>
              <w:pStyle w:val="3"/>
              <w:jc w:val="center"/>
              <w:rPr>
                <w:rFonts w:hint="eastAsia" w:ascii="Times New Roman" w:hAnsi="Times New Roman"/>
                <w:color w:val="000000"/>
                <w:kern w:val="2"/>
                <w:sz w:val="21"/>
                <w:szCs w:val="21"/>
              </w:rPr>
            </w:pPr>
            <w:r>
              <w:rPr>
                <w:rFonts w:hint="eastAsia" w:ascii="Times New Roman" w:hAnsi="Times New Roman"/>
                <w:color w:val="000000"/>
                <w:kern w:val="2"/>
                <w:sz w:val="21"/>
                <w:szCs w:val="21"/>
              </w:rPr>
              <w:t>5</w:t>
            </w:r>
          </w:p>
        </w:tc>
        <w:tc>
          <w:tcPr>
            <w:tcW w:w="5392" w:type="dxa"/>
            <w:gridSpan w:val="2"/>
            <w:noWrap w:val="0"/>
            <w:vAlign w:val="center"/>
          </w:tcPr>
          <w:p>
            <w:pPr>
              <w:jc w:val="center"/>
              <w:rPr>
                <w:color w:val="000000"/>
                <w:szCs w:val="21"/>
              </w:rPr>
            </w:pPr>
            <w:r>
              <w:rPr>
                <w:color w:val="000000"/>
                <w:szCs w:val="21"/>
              </w:rPr>
              <w:t>耐久性要求</w:t>
            </w:r>
          </w:p>
        </w:tc>
        <w:tc>
          <w:tcPr>
            <w:tcW w:w="2970" w:type="dxa"/>
            <w:noWrap w:val="0"/>
            <w:vAlign w:val="center"/>
          </w:tcPr>
          <w:p>
            <w:pPr>
              <w:jc w:val="center"/>
              <w:rPr>
                <w:color w:val="000000"/>
                <w:szCs w:val="21"/>
              </w:rPr>
            </w:pPr>
            <w:r>
              <w:rPr>
                <w:color w:val="000000"/>
                <w:szCs w:val="21"/>
              </w:rPr>
              <w:t>GB/T 26706</w:t>
            </w:r>
            <w:r>
              <w:rPr>
                <w:rFonts w:hint="eastAsia"/>
                <w:color w:val="000000"/>
                <w:szCs w:val="21"/>
              </w:rPr>
              <w:t>—</w:t>
            </w:r>
            <w:r>
              <w:rPr>
                <w:color w:val="000000"/>
                <w:szCs w:val="21"/>
              </w:rPr>
              <w:t>2011</w:t>
            </w:r>
          </w:p>
        </w:tc>
      </w:tr>
    </w:tbl>
    <w:p>
      <w:pPr>
        <w:snapToGrid w:val="0"/>
        <w:spacing w:line="440" w:lineRule="exact"/>
        <w:outlineLvl w:val="0"/>
        <w:rPr>
          <w:rFonts w:hint="eastAsia" w:ascii="黑体" w:hAnsi="宋体" w:eastAsia="黑体"/>
          <w:color w:val="000000"/>
          <w:szCs w:val="21"/>
        </w:rPr>
      </w:pPr>
    </w:p>
    <w:p>
      <w:pPr>
        <w:adjustRightInd w:val="0"/>
        <w:snapToGrid w:val="0"/>
        <w:spacing w:line="440" w:lineRule="exact"/>
        <w:ind w:firstLine="420" w:firstLineChars="200"/>
        <w:rPr>
          <w:rFonts w:hint="eastAsia"/>
          <w:color w:val="000000"/>
          <w:szCs w:val="21"/>
        </w:rPr>
      </w:pPr>
      <w:r>
        <w:rPr>
          <w:rFonts w:hint="eastAsia"/>
          <w:color w:val="000000"/>
          <w:szCs w:val="21"/>
        </w:rPr>
        <w:t>执行企业标准、团体标准、地方标准的产品，检验项目参照上述内容执行。</w:t>
      </w:r>
    </w:p>
    <w:p>
      <w:pPr>
        <w:snapToGrid w:val="0"/>
        <w:spacing w:line="440" w:lineRule="exact"/>
        <w:ind w:firstLine="359" w:firstLineChars="171"/>
        <w:rPr>
          <w:rFonts w:ascii="宋体" w:hAnsi="宋体"/>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hint="eastAsia" w:ascii="宋体" w:hAnsi="宋体"/>
          <w:color w:val="000000"/>
          <w:szCs w:val="21"/>
        </w:rPr>
      </w:pP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GB/T 26706-2011软体家具 棕纤维弹性床垫</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QB/T 1952.2-2011软体家具 弹簧软床垫</w:t>
      </w:r>
    </w:p>
    <w:p>
      <w:pPr>
        <w:snapToGrid w:val="0"/>
        <w:spacing w:line="440" w:lineRule="exact"/>
        <w:ind w:firstLine="359" w:firstLineChars="171"/>
        <w:rPr>
          <w:rFonts w:ascii="宋体" w:hAns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359" w:firstLineChars="171"/>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hint="eastAsia"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w:t>
      </w:r>
      <w:r>
        <w:rPr>
          <w:rFonts w:hint="eastAsia"/>
          <w:color w:val="000000"/>
          <w:szCs w:val="21"/>
        </w:rPr>
        <w:t>所检项目未发现不</w:t>
      </w:r>
      <w:r>
        <w:rPr>
          <w:color w:val="000000"/>
          <w:szCs w:val="21"/>
        </w:rPr>
        <w:t>合格；检验项目中任一项或一项以上不合格，判定为被抽查产品不合格。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25CFBD-8180-471E-9E14-8B32596134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embedRegular r:id="rId2" w:fontKey="{2AECEA79-45A1-4649-8221-FD270E51CE95}"/>
  </w:font>
  <w:font w:name="方正小标宋简体">
    <w:panose1 w:val="02000000000000000000"/>
    <w:charset w:val="86"/>
    <w:family w:val="auto"/>
    <w:pitch w:val="default"/>
    <w:sig w:usb0="00000001" w:usb1="08000000" w:usb2="00000000" w:usb3="00000000" w:csb0="00040000" w:csb1="00000000"/>
    <w:embedRegular r:id="rId3" w:fontKey="{6A6134A7-FC08-4EEB-A5F9-6B1179E0733D}"/>
  </w:font>
  <w:font w:name="仿宋">
    <w:panose1 w:val="02010609060101010101"/>
    <w:charset w:val="86"/>
    <w:family w:val="modern"/>
    <w:pitch w:val="default"/>
    <w:sig w:usb0="800002BF" w:usb1="38CF7CFA" w:usb2="00000016" w:usb3="00000000" w:csb0="00040001" w:csb1="00000000"/>
    <w:embedRegular r:id="rId4" w:fontKey="{59B23140-B138-473D-BE04-B89009F60BB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OGZjZTA1ZGE0ZGI1MDg2YzkwYWQwMjk0M2EwZGEifQ=="/>
  </w:docVars>
  <w:rsids>
    <w:rsidRoot w:val="00172A27"/>
    <w:rsid w:val="00001BE4"/>
    <w:rsid w:val="00004627"/>
    <w:rsid w:val="00023327"/>
    <w:rsid w:val="000424FC"/>
    <w:rsid w:val="000447FF"/>
    <w:rsid w:val="00051A44"/>
    <w:rsid w:val="00053C03"/>
    <w:rsid w:val="0005646F"/>
    <w:rsid w:val="00061C85"/>
    <w:rsid w:val="00063BDA"/>
    <w:rsid w:val="00081CBD"/>
    <w:rsid w:val="00086669"/>
    <w:rsid w:val="00093814"/>
    <w:rsid w:val="000976DE"/>
    <w:rsid w:val="000B528E"/>
    <w:rsid w:val="000B6884"/>
    <w:rsid w:val="000D7D37"/>
    <w:rsid w:val="00126C01"/>
    <w:rsid w:val="00127168"/>
    <w:rsid w:val="0013236D"/>
    <w:rsid w:val="001435D7"/>
    <w:rsid w:val="00150844"/>
    <w:rsid w:val="00167D68"/>
    <w:rsid w:val="001809DD"/>
    <w:rsid w:val="001970B6"/>
    <w:rsid w:val="001B1904"/>
    <w:rsid w:val="001C5558"/>
    <w:rsid w:val="001C76E6"/>
    <w:rsid w:val="001D3674"/>
    <w:rsid w:val="001D4175"/>
    <w:rsid w:val="001F44C4"/>
    <w:rsid w:val="00200665"/>
    <w:rsid w:val="0021336B"/>
    <w:rsid w:val="00232530"/>
    <w:rsid w:val="00235F6B"/>
    <w:rsid w:val="002433C5"/>
    <w:rsid w:val="00253624"/>
    <w:rsid w:val="00257264"/>
    <w:rsid w:val="0026477B"/>
    <w:rsid w:val="0027564E"/>
    <w:rsid w:val="00281D7E"/>
    <w:rsid w:val="00282AF9"/>
    <w:rsid w:val="002B60D3"/>
    <w:rsid w:val="002D7F8A"/>
    <w:rsid w:val="002E0D1D"/>
    <w:rsid w:val="003063BE"/>
    <w:rsid w:val="003203A3"/>
    <w:rsid w:val="00344398"/>
    <w:rsid w:val="003571E8"/>
    <w:rsid w:val="0036620B"/>
    <w:rsid w:val="00374815"/>
    <w:rsid w:val="003C388C"/>
    <w:rsid w:val="003D3FAC"/>
    <w:rsid w:val="003E61BF"/>
    <w:rsid w:val="003E7B40"/>
    <w:rsid w:val="0041013E"/>
    <w:rsid w:val="00426D50"/>
    <w:rsid w:val="004433B0"/>
    <w:rsid w:val="00445E86"/>
    <w:rsid w:val="004671E9"/>
    <w:rsid w:val="00474E04"/>
    <w:rsid w:val="004773A4"/>
    <w:rsid w:val="0048525A"/>
    <w:rsid w:val="004940A4"/>
    <w:rsid w:val="004A5A50"/>
    <w:rsid w:val="004A5AF9"/>
    <w:rsid w:val="004D0C5A"/>
    <w:rsid w:val="004D4398"/>
    <w:rsid w:val="004E1396"/>
    <w:rsid w:val="005007B4"/>
    <w:rsid w:val="00503879"/>
    <w:rsid w:val="00504B3F"/>
    <w:rsid w:val="005055FC"/>
    <w:rsid w:val="005105AD"/>
    <w:rsid w:val="00510EC2"/>
    <w:rsid w:val="00520FC3"/>
    <w:rsid w:val="00523D89"/>
    <w:rsid w:val="005309CE"/>
    <w:rsid w:val="005559B2"/>
    <w:rsid w:val="00563EBC"/>
    <w:rsid w:val="00577A4C"/>
    <w:rsid w:val="005A3733"/>
    <w:rsid w:val="005B0425"/>
    <w:rsid w:val="005C21CE"/>
    <w:rsid w:val="005E218D"/>
    <w:rsid w:val="005E4D50"/>
    <w:rsid w:val="00651DB1"/>
    <w:rsid w:val="0065580E"/>
    <w:rsid w:val="00656483"/>
    <w:rsid w:val="006A56FE"/>
    <w:rsid w:val="006D7053"/>
    <w:rsid w:val="006E1171"/>
    <w:rsid w:val="006E651D"/>
    <w:rsid w:val="006F088A"/>
    <w:rsid w:val="006F0971"/>
    <w:rsid w:val="007116EC"/>
    <w:rsid w:val="00714FD9"/>
    <w:rsid w:val="00715E23"/>
    <w:rsid w:val="0072334C"/>
    <w:rsid w:val="0072480C"/>
    <w:rsid w:val="0073191F"/>
    <w:rsid w:val="00736363"/>
    <w:rsid w:val="00756BE5"/>
    <w:rsid w:val="00774D5E"/>
    <w:rsid w:val="00780A0E"/>
    <w:rsid w:val="0079755B"/>
    <w:rsid w:val="007C1FBE"/>
    <w:rsid w:val="007C2AF3"/>
    <w:rsid w:val="007D3AD4"/>
    <w:rsid w:val="007F782F"/>
    <w:rsid w:val="00802A8E"/>
    <w:rsid w:val="00820F6D"/>
    <w:rsid w:val="00824143"/>
    <w:rsid w:val="008324C5"/>
    <w:rsid w:val="00835AFF"/>
    <w:rsid w:val="00845E7B"/>
    <w:rsid w:val="008608A4"/>
    <w:rsid w:val="00871744"/>
    <w:rsid w:val="00873D0E"/>
    <w:rsid w:val="00875743"/>
    <w:rsid w:val="00893F19"/>
    <w:rsid w:val="00895BEA"/>
    <w:rsid w:val="008A3497"/>
    <w:rsid w:val="008C414D"/>
    <w:rsid w:val="008C4DF0"/>
    <w:rsid w:val="008D0AEB"/>
    <w:rsid w:val="008D1235"/>
    <w:rsid w:val="008E5EB9"/>
    <w:rsid w:val="008F3FAF"/>
    <w:rsid w:val="00900125"/>
    <w:rsid w:val="00917A54"/>
    <w:rsid w:val="0095179C"/>
    <w:rsid w:val="00955B94"/>
    <w:rsid w:val="00977347"/>
    <w:rsid w:val="009805ED"/>
    <w:rsid w:val="009838EC"/>
    <w:rsid w:val="0099444B"/>
    <w:rsid w:val="009B1EC2"/>
    <w:rsid w:val="009B36F6"/>
    <w:rsid w:val="009B4229"/>
    <w:rsid w:val="009B6588"/>
    <w:rsid w:val="009D3DED"/>
    <w:rsid w:val="009D6F18"/>
    <w:rsid w:val="009E4AF8"/>
    <w:rsid w:val="009E6765"/>
    <w:rsid w:val="00A00457"/>
    <w:rsid w:val="00A158F5"/>
    <w:rsid w:val="00A162F7"/>
    <w:rsid w:val="00A22755"/>
    <w:rsid w:val="00A2443C"/>
    <w:rsid w:val="00A2751C"/>
    <w:rsid w:val="00A361C8"/>
    <w:rsid w:val="00A43553"/>
    <w:rsid w:val="00A44812"/>
    <w:rsid w:val="00A551E1"/>
    <w:rsid w:val="00A62FD4"/>
    <w:rsid w:val="00A85030"/>
    <w:rsid w:val="00AC45F9"/>
    <w:rsid w:val="00AC5391"/>
    <w:rsid w:val="00AD7643"/>
    <w:rsid w:val="00AF7FA4"/>
    <w:rsid w:val="00B10A9F"/>
    <w:rsid w:val="00B22A51"/>
    <w:rsid w:val="00B33E6B"/>
    <w:rsid w:val="00B368F9"/>
    <w:rsid w:val="00B44347"/>
    <w:rsid w:val="00B51A7E"/>
    <w:rsid w:val="00B51EBC"/>
    <w:rsid w:val="00B70068"/>
    <w:rsid w:val="00B7730A"/>
    <w:rsid w:val="00B9376D"/>
    <w:rsid w:val="00BA7C8F"/>
    <w:rsid w:val="00BC2590"/>
    <w:rsid w:val="00BF2B8C"/>
    <w:rsid w:val="00BF48BD"/>
    <w:rsid w:val="00C06823"/>
    <w:rsid w:val="00C26074"/>
    <w:rsid w:val="00C342EE"/>
    <w:rsid w:val="00C531F1"/>
    <w:rsid w:val="00C745E9"/>
    <w:rsid w:val="00C83B0A"/>
    <w:rsid w:val="00C97B71"/>
    <w:rsid w:val="00CE1E0C"/>
    <w:rsid w:val="00CE277E"/>
    <w:rsid w:val="00D002EF"/>
    <w:rsid w:val="00D069E6"/>
    <w:rsid w:val="00D2686D"/>
    <w:rsid w:val="00D3196A"/>
    <w:rsid w:val="00D33E3B"/>
    <w:rsid w:val="00D35CFB"/>
    <w:rsid w:val="00D47964"/>
    <w:rsid w:val="00D54112"/>
    <w:rsid w:val="00D56867"/>
    <w:rsid w:val="00D669FF"/>
    <w:rsid w:val="00D84F24"/>
    <w:rsid w:val="00D91CF5"/>
    <w:rsid w:val="00D94978"/>
    <w:rsid w:val="00DB0453"/>
    <w:rsid w:val="00DC5CB4"/>
    <w:rsid w:val="00DD3104"/>
    <w:rsid w:val="00DD753B"/>
    <w:rsid w:val="00DE7094"/>
    <w:rsid w:val="00DF0085"/>
    <w:rsid w:val="00DF5FD3"/>
    <w:rsid w:val="00E02A7F"/>
    <w:rsid w:val="00E06CD4"/>
    <w:rsid w:val="00E07880"/>
    <w:rsid w:val="00E07FE3"/>
    <w:rsid w:val="00E13376"/>
    <w:rsid w:val="00E60E54"/>
    <w:rsid w:val="00E63C6E"/>
    <w:rsid w:val="00E647FB"/>
    <w:rsid w:val="00E82621"/>
    <w:rsid w:val="00EA1482"/>
    <w:rsid w:val="00EA2BD4"/>
    <w:rsid w:val="00EB0DD7"/>
    <w:rsid w:val="00EE02B1"/>
    <w:rsid w:val="00F075BA"/>
    <w:rsid w:val="00F34B2A"/>
    <w:rsid w:val="00F4532B"/>
    <w:rsid w:val="00F5529D"/>
    <w:rsid w:val="00F71996"/>
    <w:rsid w:val="00F72695"/>
    <w:rsid w:val="00F77C9A"/>
    <w:rsid w:val="00FA2E1F"/>
    <w:rsid w:val="00FB2029"/>
    <w:rsid w:val="00FB576C"/>
    <w:rsid w:val="00FD2AA6"/>
    <w:rsid w:val="00FD32FC"/>
    <w:rsid w:val="00FE7E8A"/>
    <w:rsid w:val="00FF2DE9"/>
    <w:rsid w:val="00FF6189"/>
    <w:rsid w:val="038F2CE6"/>
    <w:rsid w:val="039467E0"/>
    <w:rsid w:val="07E868C8"/>
    <w:rsid w:val="09746184"/>
    <w:rsid w:val="09B017E3"/>
    <w:rsid w:val="0A951826"/>
    <w:rsid w:val="0C0F618C"/>
    <w:rsid w:val="0F0F78E9"/>
    <w:rsid w:val="11EE7950"/>
    <w:rsid w:val="12D73AF2"/>
    <w:rsid w:val="13263A07"/>
    <w:rsid w:val="14DD2E82"/>
    <w:rsid w:val="17187738"/>
    <w:rsid w:val="17212365"/>
    <w:rsid w:val="18AA4D25"/>
    <w:rsid w:val="194E649C"/>
    <w:rsid w:val="1A5200EF"/>
    <w:rsid w:val="1AC13CF0"/>
    <w:rsid w:val="1B400016"/>
    <w:rsid w:val="1D3540E3"/>
    <w:rsid w:val="1DDC7E12"/>
    <w:rsid w:val="1E521C6C"/>
    <w:rsid w:val="1E5B3970"/>
    <w:rsid w:val="1FC40A89"/>
    <w:rsid w:val="23725DBD"/>
    <w:rsid w:val="24DD3D3B"/>
    <w:rsid w:val="25352F2C"/>
    <w:rsid w:val="274E2ADF"/>
    <w:rsid w:val="29926A5E"/>
    <w:rsid w:val="2B7C5FF3"/>
    <w:rsid w:val="2C171607"/>
    <w:rsid w:val="2E5743F5"/>
    <w:rsid w:val="304A0BEF"/>
    <w:rsid w:val="33FF5654"/>
    <w:rsid w:val="36A57234"/>
    <w:rsid w:val="37641E43"/>
    <w:rsid w:val="37EA5437"/>
    <w:rsid w:val="37F73447"/>
    <w:rsid w:val="38D476AF"/>
    <w:rsid w:val="391F5A51"/>
    <w:rsid w:val="3AC341A6"/>
    <w:rsid w:val="3C67698C"/>
    <w:rsid w:val="3E1936B9"/>
    <w:rsid w:val="435A3333"/>
    <w:rsid w:val="43983C73"/>
    <w:rsid w:val="44016C22"/>
    <w:rsid w:val="44C65333"/>
    <w:rsid w:val="4509324B"/>
    <w:rsid w:val="45F05B68"/>
    <w:rsid w:val="49C40426"/>
    <w:rsid w:val="49D339DA"/>
    <w:rsid w:val="49DC1578"/>
    <w:rsid w:val="4BC80562"/>
    <w:rsid w:val="4C2527B9"/>
    <w:rsid w:val="4CFE6D8A"/>
    <w:rsid w:val="4D7B4D6D"/>
    <w:rsid w:val="50256500"/>
    <w:rsid w:val="50963109"/>
    <w:rsid w:val="5163358A"/>
    <w:rsid w:val="52010450"/>
    <w:rsid w:val="5238355F"/>
    <w:rsid w:val="52DD515D"/>
    <w:rsid w:val="53134E68"/>
    <w:rsid w:val="53425D1F"/>
    <w:rsid w:val="53DA0A49"/>
    <w:rsid w:val="574E4948"/>
    <w:rsid w:val="58460A8B"/>
    <w:rsid w:val="585A75FF"/>
    <w:rsid w:val="586D0877"/>
    <w:rsid w:val="5AB45E63"/>
    <w:rsid w:val="5B5D0C1F"/>
    <w:rsid w:val="5D6C523A"/>
    <w:rsid w:val="5DE92C09"/>
    <w:rsid w:val="5DF03FDB"/>
    <w:rsid w:val="5E330B5F"/>
    <w:rsid w:val="5E6049D2"/>
    <w:rsid w:val="5E7733E2"/>
    <w:rsid w:val="5EAB3C43"/>
    <w:rsid w:val="62915A3F"/>
    <w:rsid w:val="63AA124F"/>
    <w:rsid w:val="64312EFA"/>
    <w:rsid w:val="65A94935"/>
    <w:rsid w:val="65B745B5"/>
    <w:rsid w:val="666F67A2"/>
    <w:rsid w:val="6699496B"/>
    <w:rsid w:val="66E43F89"/>
    <w:rsid w:val="67DE7BEB"/>
    <w:rsid w:val="6A6E1E74"/>
    <w:rsid w:val="6B7E177B"/>
    <w:rsid w:val="6C385305"/>
    <w:rsid w:val="6DA97ED4"/>
    <w:rsid w:val="6DEC517E"/>
    <w:rsid w:val="72055190"/>
    <w:rsid w:val="72314842"/>
    <w:rsid w:val="741C6A92"/>
    <w:rsid w:val="74D37D84"/>
    <w:rsid w:val="761B573C"/>
    <w:rsid w:val="77AD7A43"/>
    <w:rsid w:val="78B16581"/>
    <w:rsid w:val="7A303288"/>
    <w:rsid w:val="7AB17658"/>
    <w:rsid w:val="7C4C112E"/>
    <w:rsid w:val="7D81503B"/>
    <w:rsid w:val="7DB74960"/>
    <w:rsid w:val="7F6F73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Document Map"/>
    <w:basedOn w:val="1"/>
    <w:autoRedefine/>
    <w:semiHidden/>
    <w:qFormat/>
    <w:uiPriority w:val="0"/>
    <w:pPr>
      <w:shd w:val="clear" w:color="auto" w:fill="000080"/>
    </w:pPr>
  </w:style>
  <w:style w:type="paragraph" w:styleId="3">
    <w:name w:val="Plain Text"/>
    <w:basedOn w:val="1"/>
    <w:autoRedefine/>
    <w:unhideWhenUsed/>
    <w:qFormat/>
    <w:uiPriority w:val="99"/>
    <w:rPr>
      <w:rFonts w:ascii="宋体" w:hAnsi="Courier New"/>
      <w:kern w:val="0"/>
      <w:sz w:val="20"/>
      <w:szCs w:val="20"/>
    </w:rPr>
  </w:style>
  <w:style w:type="paragraph" w:styleId="4">
    <w:name w:val="Balloon Text"/>
    <w:basedOn w:val="1"/>
    <w:link w:val="11"/>
    <w:autoRedefine/>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批注框文本 Char"/>
    <w:basedOn w:val="9"/>
    <w:link w:val="4"/>
    <w:autoRedefine/>
    <w:semiHidden/>
    <w:qFormat/>
    <w:uiPriority w:val="99"/>
    <w:rPr>
      <w:kern w:val="2"/>
      <w:sz w:val="18"/>
      <w:szCs w:val="18"/>
    </w:rPr>
  </w:style>
  <w:style w:type="character" w:customStyle="1" w:styleId="12">
    <w:name w:val="页脚 Char"/>
    <w:basedOn w:val="9"/>
    <w:link w:val="5"/>
    <w:autoRedefine/>
    <w:qFormat/>
    <w:uiPriority w:val="99"/>
    <w:rPr>
      <w:kern w:val="2"/>
      <w:sz w:val="18"/>
      <w:szCs w:val="18"/>
    </w:rPr>
  </w:style>
  <w:style w:type="character" w:customStyle="1" w:styleId="13">
    <w:name w:val="页眉 Char"/>
    <w:basedOn w:val="9"/>
    <w:link w:val="6"/>
    <w:autoRedefine/>
    <w:semiHidden/>
    <w:qFormat/>
    <w:uiPriority w:val="99"/>
    <w:rPr>
      <w:kern w:val="2"/>
      <w:sz w:val="18"/>
      <w:szCs w:val="18"/>
    </w:rPr>
  </w:style>
  <w:style w:type="paragraph" w:customStyle="1" w:styleId="14">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726</Words>
  <Characters>871</Characters>
  <Lines>6</Lines>
  <Paragraphs>1</Paragraphs>
  <TotalTime>1</TotalTime>
  <ScaleCrop>false</ScaleCrop>
  <LinksUpToDate>false</LinksUpToDate>
  <CharactersWithSpaces>888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2020-01-06T04:47:00Z</dcterms:created>
  <dc:creator>Legend User</dc:creator>
  <cp:lastModifiedBy>Acostar</cp:lastModifiedBy>
  <cp:lastPrinted>2021-03-26T01:47:00Z</cp:lastPrinted>
  <dcterms:modified xsi:type="dcterms:W3CDTF">2024-03-15T03:07:50Z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KSOSaveFontToCloudKey">
    <vt:lpwstr>705523681_cloud</vt:lpwstr>
  </property>
  <property fmtid="{D5CDD505-2E9C-101B-9397-08002B2CF9AE}" pid="4" name="ICV">
    <vt:lpwstr>DE098322523048398F2FD50909DA15A1_13</vt:lpwstr>
  </property>
</Properties>
</file>