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auto"/>
          <w:sz w:val="44"/>
          <w:szCs w:val="44"/>
          <w:lang w:bidi="ar-SA"/>
        </w:rPr>
      </w:pPr>
      <w:r>
        <w:rPr>
          <w:rFonts w:hint="default" w:ascii="Times New Roman" w:hAnsi="Times New Roman" w:eastAsia="方正小标宋_GBK" w:cs="Times New Roman"/>
          <w:color w:val="auto"/>
          <w:sz w:val="44"/>
          <w:szCs w:val="44"/>
          <w:lang w:bidi="ar-SA"/>
        </w:rPr>
        <w:t>重庆市涪陵区市场监督管理局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auto"/>
          <w:sz w:val="44"/>
          <w:szCs w:val="44"/>
          <w:lang w:bidi="ar-SA"/>
        </w:rPr>
      </w:pPr>
      <w:r>
        <w:rPr>
          <w:rFonts w:hint="default" w:ascii="Times New Roman" w:hAnsi="Times New Roman" w:eastAsia="方正小标宋_GBK" w:cs="Times New Roman"/>
          <w:color w:val="auto"/>
          <w:sz w:val="44"/>
          <w:szCs w:val="44"/>
          <w:lang w:eastAsia="zh-CN" w:bidi="ar-SA"/>
        </w:rPr>
        <w:t>关于</w:t>
      </w:r>
      <w:r>
        <w:rPr>
          <w:rFonts w:hint="default" w:ascii="Times New Roman" w:hAnsi="Times New Roman" w:eastAsia="方正小标宋_GBK" w:cs="Times New Roman"/>
          <w:color w:val="auto"/>
          <w:sz w:val="44"/>
          <w:szCs w:val="44"/>
          <w:lang w:val="en-US" w:eastAsia="zh-CN" w:bidi="ar-SA"/>
        </w:rPr>
        <w:t>202</w:t>
      </w:r>
      <w:r>
        <w:rPr>
          <w:rFonts w:hint="eastAsia" w:eastAsia="方正小标宋_GBK" w:cs="Times New Roman"/>
          <w:color w:val="auto"/>
          <w:sz w:val="44"/>
          <w:szCs w:val="44"/>
          <w:lang w:val="en-US" w:eastAsia="zh-CN" w:bidi="ar-SA"/>
        </w:rPr>
        <w:t>4</w:t>
      </w:r>
      <w:r>
        <w:rPr>
          <w:rFonts w:hint="default" w:ascii="Times New Roman" w:hAnsi="Times New Roman" w:eastAsia="方正小标宋_GBK" w:cs="Times New Roman"/>
          <w:color w:val="auto"/>
          <w:sz w:val="44"/>
          <w:szCs w:val="44"/>
          <w:lang w:val="en-US" w:eastAsia="zh-CN" w:bidi="ar-SA"/>
        </w:rPr>
        <w:t>年度</w:t>
      </w:r>
      <w:r>
        <w:rPr>
          <w:rFonts w:hint="default" w:ascii="Times New Roman" w:hAnsi="Times New Roman" w:eastAsia="方正小标宋_GBK" w:cs="Times New Roman"/>
          <w:color w:val="auto"/>
          <w:sz w:val="44"/>
          <w:szCs w:val="44"/>
          <w:lang w:bidi="ar-SA"/>
        </w:rPr>
        <w:t>法治政府建设</w:t>
      </w:r>
      <w:r>
        <w:rPr>
          <w:rFonts w:hint="default" w:ascii="Times New Roman" w:hAnsi="Times New Roman" w:eastAsia="方正小标宋_GBK" w:cs="Times New Roman"/>
          <w:color w:val="auto"/>
          <w:sz w:val="44"/>
          <w:szCs w:val="44"/>
          <w:lang w:eastAsia="zh-CN" w:bidi="ar-SA"/>
        </w:rPr>
        <w:t>情况的</w:t>
      </w:r>
      <w:r>
        <w:rPr>
          <w:rFonts w:hint="default" w:ascii="Times New Roman" w:hAnsi="Times New Roman" w:eastAsia="方正小标宋_GBK" w:cs="Times New Roman"/>
          <w:color w:val="auto"/>
          <w:sz w:val="44"/>
          <w:szCs w:val="44"/>
          <w:lang w:bidi="ar-SA"/>
        </w:rPr>
        <w:t>报告</w:t>
      </w:r>
    </w:p>
    <w:p>
      <w:pPr>
        <w:keepNext w:val="0"/>
        <w:keepLines w:val="0"/>
        <w:pageBreakBefore w:val="0"/>
        <w:widowControl w:val="0"/>
        <w:kinsoku/>
        <w:overflowPunct/>
        <w:topLinePunct w:val="0"/>
        <w:autoSpaceDE/>
        <w:autoSpaceDN/>
        <w:bidi w:val="0"/>
        <w:adjustRightInd/>
        <w:snapToGrid/>
        <w:spacing w:line="570" w:lineRule="exact"/>
        <w:ind w:left="0"/>
        <w:textAlignment w:val="auto"/>
        <w:rPr>
          <w:rFonts w:hint="default" w:ascii="Times New Roman" w:hAnsi="Times New Roman" w:eastAsia="仿宋" w:cs="Times New Roman"/>
          <w:color w:val="auto"/>
          <w:sz w:val="30"/>
          <w:szCs w:val="30"/>
          <w:lang w:bidi="ar-SA"/>
        </w:rPr>
      </w:pP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eastAsia" w:ascii="Times New Roman" w:hAnsi="Times New Roman" w:eastAsia="方正仿宋_GBK" w:cs="Times New Roman"/>
          <w:bCs/>
          <w:color w:val="auto"/>
          <w:sz w:val="32"/>
          <w:szCs w:val="32"/>
          <w:lang w:eastAsia="zh-CN" w:bidi="ar-SA"/>
        </w:rPr>
      </w:pPr>
      <w:r>
        <w:rPr>
          <w:rFonts w:hint="eastAsia" w:cs="Times New Roman"/>
          <w:bCs/>
          <w:color w:val="auto"/>
          <w:sz w:val="32"/>
          <w:szCs w:val="32"/>
          <w:lang w:val="en-US" w:eastAsia="zh-CN" w:bidi="ar-SA"/>
        </w:rPr>
        <w:t>为了贯彻习近平新时代中国特色社会主义思想，认真落实区委、区政府、重庆市市场监督管理局各项部署和工作，积极运用法治思维和法治方式推动市场监管各项工作，现将有关情况报告如下</w:t>
      </w:r>
      <w:bookmarkStart w:id="0" w:name="_GoBack"/>
      <w:bookmarkEnd w:id="0"/>
      <w:r>
        <w:rPr>
          <w:rFonts w:hint="eastAsia" w:ascii="Times New Roman" w:hAnsi="Times New Roman" w:eastAsia="方正仿宋_GBK" w:cs="Times New Roman"/>
          <w:bCs/>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黑体_GBK" w:cs="Times New Roman"/>
          <w:bCs/>
          <w:color w:val="auto"/>
          <w:sz w:val="32"/>
          <w:szCs w:val="32"/>
          <w:lang w:bidi="ar-SA"/>
        </w:rPr>
      </w:pPr>
      <w:r>
        <w:rPr>
          <w:rFonts w:hint="default" w:ascii="Times New Roman" w:hAnsi="Times New Roman" w:eastAsia="方正黑体_GBK" w:cs="Times New Roman"/>
          <w:bCs/>
          <w:color w:val="auto"/>
          <w:sz w:val="32"/>
          <w:szCs w:val="32"/>
          <w:lang w:bidi="ar-SA"/>
        </w:rPr>
        <w:t>一、202</w:t>
      </w:r>
      <w:r>
        <w:rPr>
          <w:rFonts w:hint="eastAsia" w:eastAsia="方正黑体_GBK" w:cs="Times New Roman"/>
          <w:bCs/>
          <w:color w:val="auto"/>
          <w:sz w:val="32"/>
          <w:szCs w:val="32"/>
          <w:lang w:val="en-US" w:eastAsia="zh-CN" w:bidi="ar-SA"/>
        </w:rPr>
        <w:t>4</w:t>
      </w:r>
      <w:r>
        <w:rPr>
          <w:rFonts w:hint="default" w:ascii="Times New Roman" w:hAnsi="Times New Roman" w:eastAsia="方正黑体_GBK" w:cs="Times New Roman"/>
          <w:bCs/>
          <w:color w:val="auto"/>
          <w:sz w:val="32"/>
          <w:szCs w:val="32"/>
          <w:lang w:bidi="ar-SA"/>
        </w:rPr>
        <w:t>年工作开展情况</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楷体_GBK" w:cs="Times New Roman"/>
          <w:bCs/>
          <w:color w:val="auto"/>
          <w:sz w:val="32"/>
          <w:szCs w:val="32"/>
          <w:lang w:bidi="ar-SA"/>
        </w:rPr>
      </w:pPr>
      <w:r>
        <w:rPr>
          <w:rFonts w:hint="default" w:ascii="Times New Roman" w:hAnsi="Times New Roman" w:eastAsia="方正楷体_GBK" w:cs="Times New Roman"/>
          <w:bCs/>
          <w:color w:val="auto"/>
          <w:sz w:val="32"/>
          <w:szCs w:val="32"/>
          <w:lang w:bidi="ar-SA"/>
        </w:rPr>
        <w:t>（一）</w:t>
      </w:r>
      <w:r>
        <w:rPr>
          <w:rFonts w:hint="default" w:ascii="Times New Roman" w:hAnsi="Times New Roman" w:eastAsia="方正楷体_GBK" w:cs="Times New Roman"/>
          <w:color w:val="auto"/>
          <w:kern w:val="2"/>
          <w:sz w:val="32"/>
          <w:szCs w:val="22"/>
          <w:lang w:val="en-US" w:eastAsia="zh-CN" w:bidi="ar-SA"/>
        </w:rPr>
        <w:t>学习贯彻习近平法治思想情况</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jc w:val="both"/>
        <w:textAlignment w:val="auto"/>
        <w:rPr>
          <w:rFonts w:hint="eastAsia" w:cs="Times New Roman"/>
          <w:bCs/>
          <w:color w:val="auto"/>
          <w:sz w:val="32"/>
          <w:szCs w:val="32"/>
          <w:lang w:eastAsia="zh-CN" w:bidi="ar-SA"/>
        </w:rPr>
      </w:pPr>
      <w:r>
        <w:rPr>
          <w:rFonts w:hint="eastAsia" w:cs="Times New Roman"/>
          <w:bCs/>
          <w:color w:val="auto"/>
          <w:kern w:val="2"/>
          <w:sz w:val="32"/>
          <w:szCs w:val="32"/>
          <w:lang w:val="en-US" w:eastAsia="zh-CN" w:bidi="ar-SA"/>
        </w:rPr>
        <w:t>一是</w:t>
      </w:r>
      <w:r>
        <w:rPr>
          <w:rFonts w:ascii="Times New Roman" w:hAnsi="Times New Roman" w:eastAsia="方正仿宋_GBK" w:cs="Times New Roman"/>
          <w:bCs/>
          <w:color w:val="auto"/>
          <w:kern w:val="2"/>
          <w:sz w:val="32"/>
          <w:szCs w:val="32"/>
          <w:lang w:bidi="ar-SA"/>
        </w:rPr>
        <w:t>坚决贯彻执行将习近平法治思想学习纳入党组理论学习中心组的学习计划，确保定期开展深入学习，特别强调对新修订的《中华人民共和国行政复议法》和《中华人民共和国公司法》等法律法规的学习，以及法治重庆建设的决策部署。</w:t>
      </w:r>
      <w:r>
        <w:rPr>
          <w:rFonts w:hint="eastAsia" w:cs="Times New Roman"/>
          <w:bCs/>
          <w:color w:val="auto"/>
          <w:kern w:val="2"/>
          <w:sz w:val="32"/>
          <w:szCs w:val="32"/>
          <w:lang w:val="en-US" w:eastAsia="zh-CN" w:bidi="ar-SA"/>
        </w:rPr>
        <w:t>二是</w:t>
      </w:r>
      <w:r>
        <w:rPr>
          <w:rFonts w:ascii="Times New Roman" w:hAnsi="Times New Roman" w:eastAsia="方正仿宋_GBK" w:cs="Times New Roman"/>
          <w:bCs/>
          <w:color w:val="auto"/>
          <w:kern w:val="2"/>
          <w:sz w:val="32"/>
          <w:szCs w:val="32"/>
          <w:lang w:bidi="ar-SA"/>
        </w:rPr>
        <w:t>积极倡导领导干部撰写并上报学习法律和运用法律的心得体会。再次，深化法治宣传教育工作，本局在“3∙15”消费者权益保护日、知识产权宣传周、质量月等关键时间节点，通过线上线下多渠道开展普法宣传活动，以提升公众的法治意识</w:t>
      </w:r>
      <w:r>
        <w:rPr>
          <w:rFonts w:hint="eastAsia" w:cs="Times New Roman"/>
          <w:bCs/>
          <w:color w:val="auto"/>
          <w:kern w:val="2"/>
          <w:sz w:val="32"/>
          <w:szCs w:val="32"/>
          <w:lang w:eastAsia="zh-CN" w:bidi="ar-SA"/>
        </w:rPr>
        <w:t>。</w:t>
      </w:r>
      <w:r>
        <w:rPr>
          <w:rFonts w:hint="eastAsia" w:cs="Times New Roman"/>
          <w:bCs/>
          <w:color w:val="auto"/>
          <w:kern w:val="2"/>
          <w:sz w:val="32"/>
          <w:szCs w:val="32"/>
          <w:lang w:val="en-US" w:eastAsia="zh-CN" w:bidi="ar-SA"/>
        </w:rPr>
        <w:t>三是</w:t>
      </w:r>
      <w:r>
        <w:rPr>
          <w:rFonts w:ascii="Times New Roman" w:hAnsi="Times New Roman" w:eastAsia="方正仿宋_GBK" w:cs="Times New Roman"/>
          <w:bCs/>
          <w:color w:val="auto"/>
          <w:kern w:val="2"/>
          <w:sz w:val="32"/>
          <w:szCs w:val="32"/>
          <w:lang w:bidi="ar-SA"/>
        </w:rPr>
        <w:t>在日常工作中，积极利用公众号等新媒体平台，广泛宣传习近平法治思想，确保法治理念深入人心。</w:t>
      </w:r>
    </w:p>
    <w:p>
      <w:pPr>
        <w:keepNext w:val="0"/>
        <w:keepLines w:val="0"/>
        <w:pageBreakBefore w:val="0"/>
        <w:widowControl w:val="0"/>
        <w:numPr>
          <w:ilvl w:val="0"/>
          <w:numId w:val="1"/>
        </w:numPr>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楷体_GBK" w:cs="Times New Roman"/>
          <w:bCs/>
          <w:color w:val="auto"/>
          <w:sz w:val="32"/>
          <w:szCs w:val="32"/>
          <w:lang w:val="en-US" w:eastAsia="zh-CN" w:bidi="ar-SA"/>
        </w:rPr>
      </w:pPr>
      <w:r>
        <w:rPr>
          <w:rFonts w:hint="eastAsia" w:eastAsia="方正楷体_GBK" w:cs="Times New Roman"/>
          <w:bCs/>
          <w:color w:val="auto"/>
          <w:sz w:val="32"/>
          <w:szCs w:val="32"/>
          <w:lang w:val="en-US" w:eastAsia="zh-CN" w:bidi="ar-SA"/>
        </w:rPr>
        <w:t>深化“放管服”改革、优化法治营商环境情况</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jc w:val="both"/>
        <w:textAlignment w:val="auto"/>
        <w:rPr>
          <w:rFonts w:hint="default" w:cs="Times New Roman"/>
          <w:bCs/>
          <w:color w:val="auto"/>
          <w:sz w:val="32"/>
          <w:szCs w:val="32"/>
          <w:lang w:val="en-US" w:eastAsia="zh-CN" w:bidi="ar-SA"/>
        </w:rPr>
      </w:pPr>
      <w:r>
        <w:rPr>
          <w:rFonts w:ascii="Times New Roman" w:hAnsi="Times New Roman" w:eastAsia="方正仿宋_GBK" w:cs="Times New Roman"/>
          <w:bCs/>
          <w:color w:val="auto"/>
          <w:kern w:val="2"/>
          <w:sz w:val="32"/>
          <w:szCs w:val="32"/>
          <w:lang w:bidi="ar-SA"/>
        </w:rPr>
        <w:t>深入贯彻执行上级关于“一网通办”的决策部署，不断推进行政审批服务的优化升级；增设便民服务专窗，提供帮办导办服务，进一步提高便民服务的水平；积极推行“川渝通办”的政务服务新模式，为成渝双城经济圈的合作发展提供有力支撑，实现与四川西昌、遂宁、泸州等地营业执照的异地注销、“互办互发”等企业异地办事需求，有效降低企业办事的行政成本。</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jc w:val="both"/>
        <w:textAlignment w:val="auto"/>
        <w:rPr>
          <w:rFonts w:hint="eastAsia" w:cs="Times New Roman"/>
          <w:bCs/>
          <w:color w:val="auto"/>
          <w:sz w:val="32"/>
          <w:szCs w:val="32"/>
          <w:lang w:val="en-US" w:eastAsia="zh-CN" w:bidi="ar-SA"/>
        </w:rPr>
      </w:pPr>
      <w:r>
        <w:rPr>
          <w:rFonts w:ascii="Times New Roman" w:hAnsi="Times New Roman" w:eastAsia="方正仿宋_GBK" w:cs="Times New Roman"/>
          <w:bCs/>
          <w:color w:val="auto"/>
          <w:kern w:val="2"/>
          <w:sz w:val="32"/>
          <w:szCs w:val="32"/>
          <w:lang w:bidi="ar-SA"/>
        </w:rPr>
        <w:t>坚决落实上级指示，全力</w:t>
      </w:r>
      <w:r>
        <w:rPr>
          <w:rFonts w:hint="eastAsia" w:cs="Times New Roman"/>
          <w:bCs/>
          <w:color w:val="auto"/>
          <w:kern w:val="2"/>
          <w:sz w:val="32"/>
          <w:szCs w:val="32"/>
          <w:lang w:val="en-US" w:eastAsia="zh-CN" w:bidi="ar-SA"/>
        </w:rPr>
        <w:t>打造一流法治营商环境</w:t>
      </w:r>
      <w:r>
        <w:rPr>
          <w:rFonts w:ascii="Times New Roman" w:hAnsi="Times New Roman" w:eastAsia="方正仿宋_GBK" w:cs="Times New Roman"/>
          <w:bCs/>
          <w:color w:val="auto"/>
          <w:kern w:val="2"/>
          <w:sz w:val="32"/>
          <w:szCs w:val="32"/>
          <w:lang w:bidi="ar-SA"/>
        </w:rPr>
        <w:t>。2024年，根据上级部署，开展了“双随机、一公开”联合抽查，联合16个部门对生态环境检测机构、招标代理机构、校外培训机构、市政工程等19项任务进行了抽查，涉及市场主体109户。</w:t>
      </w:r>
      <w:r>
        <w:rPr>
          <w:rFonts w:hint="eastAsia" w:cs="Times New Roman"/>
          <w:bCs/>
          <w:color w:val="auto"/>
          <w:kern w:val="2"/>
          <w:sz w:val="32"/>
          <w:szCs w:val="32"/>
          <w:lang w:val="en-US" w:eastAsia="zh-CN" w:bidi="ar-SA"/>
        </w:rPr>
        <w:t>我局</w:t>
      </w:r>
      <w:r>
        <w:rPr>
          <w:rFonts w:ascii="Times New Roman" w:hAnsi="Times New Roman" w:eastAsia="方正仿宋_GBK" w:cs="Times New Roman"/>
          <w:bCs/>
          <w:color w:val="auto"/>
          <w:kern w:val="2"/>
          <w:sz w:val="32"/>
          <w:szCs w:val="32"/>
          <w:lang w:bidi="ar-SA"/>
        </w:rPr>
        <w:t>持续深化公平竞争审查工作，向区政府提请制定了《贯彻落实重庆市公平竞争审查制度实施办法的通知》和《加强规范性文件管理工作的通知》等文件，区联席办印发了《公平竞争审查会审工作规范（试行）》和《约谈机制》，严格按照《公平竞争审查条例》的要求，对本区公平竞争审查及会审工作、约谈机制进行了具体规范。2024年，</w:t>
      </w:r>
      <w:r>
        <w:rPr>
          <w:rFonts w:hint="eastAsia" w:cs="Times New Roman"/>
          <w:bCs/>
          <w:color w:val="auto"/>
          <w:kern w:val="2"/>
          <w:sz w:val="32"/>
          <w:szCs w:val="32"/>
          <w:lang w:val="en-US" w:eastAsia="zh-CN" w:bidi="ar-SA"/>
        </w:rPr>
        <w:t>我局</w:t>
      </w:r>
      <w:r>
        <w:rPr>
          <w:rFonts w:ascii="Times New Roman" w:hAnsi="Times New Roman" w:eastAsia="方正仿宋_GBK" w:cs="Times New Roman"/>
          <w:bCs/>
          <w:color w:val="auto"/>
          <w:kern w:val="2"/>
          <w:sz w:val="32"/>
          <w:szCs w:val="32"/>
          <w:lang w:bidi="ar-SA"/>
        </w:rPr>
        <w:t>联合各单位审查了178份涉及经济主体经济活动的增量政策措施文件，对11份文件进行了修改调整。同时，开展了24次联合审查，对5份文件进行了修改调整。此外，</w:t>
      </w:r>
      <w:r>
        <w:rPr>
          <w:rFonts w:hint="eastAsia" w:cs="Times New Roman"/>
          <w:bCs/>
          <w:color w:val="auto"/>
          <w:kern w:val="2"/>
          <w:sz w:val="32"/>
          <w:szCs w:val="32"/>
          <w:lang w:val="en-US" w:eastAsia="zh-CN" w:bidi="ar-SA"/>
        </w:rPr>
        <w:t>我局</w:t>
      </w:r>
      <w:r>
        <w:rPr>
          <w:rFonts w:ascii="Times New Roman" w:hAnsi="Times New Roman" w:eastAsia="方正仿宋_GBK" w:cs="Times New Roman"/>
          <w:bCs/>
          <w:color w:val="auto"/>
          <w:kern w:val="2"/>
          <w:sz w:val="32"/>
          <w:szCs w:val="32"/>
          <w:lang w:bidi="ar-SA"/>
        </w:rPr>
        <w:t>部署开展了政策措施动态清理和“回头看”工作，对112份存量文件政策措施进行了清理，修订了7份，废止了8份。</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jc w:val="both"/>
        <w:textAlignment w:val="auto"/>
        <w:rPr>
          <w:rFonts w:hint="default" w:cs="Times New Roman"/>
          <w:bCs/>
          <w:color w:val="auto"/>
          <w:sz w:val="32"/>
          <w:szCs w:val="32"/>
          <w:lang w:val="en-US" w:eastAsia="zh-CN" w:bidi="ar-SA"/>
        </w:rPr>
      </w:pPr>
      <w:r>
        <w:rPr>
          <w:rFonts w:ascii="Times New Roman" w:hAnsi="Times New Roman" w:eastAsia="方正仿宋_GBK" w:cs="Times New Roman"/>
          <w:bCs/>
          <w:color w:val="auto"/>
          <w:kern w:val="2"/>
          <w:sz w:val="32"/>
          <w:szCs w:val="32"/>
          <w:lang w:bidi="ar-SA"/>
        </w:rPr>
        <w:t>为助力提升知识产权运用能力，全区知识产权创造的数量和质量均得到显著提升。通过深入企业进行调研走访，指导企业开展各类项目申报，积极探索并打造“知识产权+金融”平台，更新并建立企业知识产权质押融资需求数据库，有序推动涪陵区知识产权运营中心立项建设。同时，推动区政府成立知识产权工作专班，印发《知识产权三年提升行动计划》，实施专利质量提升工程，支持高新技术企业专利创造。截至2024年1-10月，新授权发明专利授权156件，全区有效发明专利达900件，每万人口发明专利拥有量8.15件，较去年同比增长6.13%；全区新注册商标924件，有效注册商标达1.72万件。成功注册“涪陵荔枝”地理标志证明商标，成为重庆市2024年唯一一件注册的地理标志证明商标。</w:t>
      </w:r>
      <w:r>
        <w:rPr>
          <w:rFonts w:hint="eastAsia" w:cs="Times New Roman"/>
          <w:bCs/>
          <w:color w:val="auto"/>
          <w:sz w:val="32"/>
          <w:szCs w:val="32"/>
          <w:lang w:val="en-US" w:eastAsia="zh-CN" w:bidi="ar-SA"/>
        </w:rPr>
        <w:t xml:space="preserve">    </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楷体_GBK" w:cs="Times New Roman"/>
          <w:bCs/>
          <w:color w:val="auto"/>
          <w:sz w:val="32"/>
          <w:szCs w:val="32"/>
          <w:lang w:bidi="ar-SA"/>
        </w:rPr>
      </w:pPr>
      <w:r>
        <w:rPr>
          <w:rFonts w:hint="default" w:ascii="Times New Roman" w:hAnsi="Times New Roman" w:eastAsia="方正楷体_GBK" w:cs="Times New Roman"/>
          <w:bCs/>
          <w:color w:val="auto"/>
          <w:sz w:val="32"/>
          <w:szCs w:val="32"/>
          <w:lang w:bidi="ar-SA"/>
        </w:rPr>
        <w:t>（三）</w:t>
      </w:r>
      <w:r>
        <w:rPr>
          <w:rFonts w:hint="default" w:ascii="Times New Roman" w:hAnsi="Times New Roman" w:eastAsia="方正楷体_GBK" w:cs="Times New Roman"/>
          <w:bCs/>
          <w:color w:val="auto"/>
          <w:sz w:val="32"/>
          <w:szCs w:val="32"/>
          <w:lang w:val="en-US" w:eastAsia="zh-CN" w:bidi="ar-SA"/>
        </w:rPr>
        <w:t>依法行政制度体系建设情况</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jc w:val="both"/>
        <w:textAlignment w:val="auto"/>
        <w:rPr>
          <w:rFonts w:ascii="Times New Roman" w:hAnsi="Times New Roman" w:eastAsia="方正仿宋_GBK" w:cs="Times New Roman"/>
          <w:bCs/>
          <w:color w:val="auto"/>
          <w:kern w:val="2"/>
          <w:sz w:val="32"/>
          <w:szCs w:val="32"/>
          <w:lang w:bidi="ar-SA"/>
        </w:rPr>
      </w:pPr>
      <w:r>
        <w:rPr>
          <w:rFonts w:hint="eastAsia" w:cs="Times New Roman"/>
          <w:bCs/>
          <w:color w:val="auto"/>
          <w:kern w:val="2"/>
          <w:sz w:val="32"/>
          <w:szCs w:val="32"/>
          <w:lang w:val="en-US" w:eastAsia="zh-CN" w:bidi="ar-SA"/>
        </w:rPr>
        <w:t>1.</w:t>
      </w:r>
      <w:r>
        <w:rPr>
          <w:rFonts w:ascii="Times New Roman" w:hAnsi="Times New Roman" w:eastAsia="方正仿宋_GBK" w:cs="Times New Roman"/>
          <w:bCs/>
          <w:color w:val="auto"/>
          <w:kern w:val="2"/>
          <w:sz w:val="32"/>
          <w:szCs w:val="32"/>
          <w:lang w:bidi="ar-SA"/>
        </w:rPr>
        <w:t>我局积极主动地配合新兴领域的立法工作，认真参与了《重庆市农村家庭集体宴席管理服务办法》的修订调研工作，并对收到的立法征求意见稿进行了细致的阅读和分析，及时反馈意见和建议。</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jc w:val="both"/>
        <w:textAlignment w:val="auto"/>
        <w:rPr>
          <w:rFonts w:ascii="Times New Roman" w:hAnsi="Times New Roman" w:eastAsia="方正仿宋_GBK" w:cs="Times New Roman"/>
          <w:bCs/>
          <w:color w:val="auto"/>
          <w:kern w:val="2"/>
          <w:sz w:val="32"/>
          <w:szCs w:val="32"/>
          <w:lang w:bidi="ar-SA"/>
        </w:rPr>
      </w:pPr>
      <w:r>
        <w:rPr>
          <w:rFonts w:hint="eastAsia" w:cs="Times New Roman"/>
          <w:bCs/>
          <w:color w:val="auto"/>
          <w:kern w:val="2"/>
          <w:sz w:val="32"/>
          <w:szCs w:val="32"/>
          <w:lang w:val="en-US" w:eastAsia="zh-CN" w:bidi="ar-SA"/>
        </w:rPr>
        <w:t>2.</w:t>
      </w:r>
      <w:r>
        <w:rPr>
          <w:rFonts w:ascii="Times New Roman" w:hAnsi="Times New Roman" w:eastAsia="方正仿宋_GBK" w:cs="Times New Roman"/>
          <w:bCs/>
          <w:color w:val="auto"/>
          <w:kern w:val="2"/>
          <w:sz w:val="32"/>
          <w:szCs w:val="32"/>
          <w:lang w:bidi="ar-SA"/>
        </w:rPr>
        <w:t>常态化地开展新法的宣传贯彻工作，在《行政复议法》修订并实施后，组织专题培训，对复议前置等重要修改内容进行了深入的解读和宣传。</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jc w:val="both"/>
        <w:textAlignment w:val="auto"/>
        <w:rPr>
          <w:rFonts w:hint="eastAsia" w:cs="Times New Roman"/>
          <w:bCs/>
          <w:color w:val="auto"/>
          <w:sz w:val="32"/>
          <w:szCs w:val="32"/>
          <w:lang w:eastAsia="zh-CN" w:bidi="ar-SA"/>
        </w:rPr>
      </w:pPr>
      <w:r>
        <w:rPr>
          <w:rFonts w:hint="eastAsia" w:cs="Times New Roman"/>
          <w:bCs/>
          <w:color w:val="auto"/>
          <w:kern w:val="2"/>
          <w:sz w:val="32"/>
          <w:szCs w:val="32"/>
          <w:lang w:val="en-US" w:eastAsia="zh-CN" w:bidi="ar-SA"/>
        </w:rPr>
        <w:t>3.</w:t>
      </w:r>
      <w:r>
        <w:rPr>
          <w:rFonts w:ascii="Times New Roman" w:hAnsi="Times New Roman" w:eastAsia="方正仿宋_GBK" w:cs="Times New Roman"/>
          <w:bCs/>
          <w:color w:val="auto"/>
          <w:kern w:val="2"/>
          <w:sz w:val="32"/>
          <w:szCs w:val="32"/>
          <w:lang w:bidi="ar-SA"/>
        </w:rPr>
        <w:t>加强了规范性文件的集中清理和报备工作，全面梳理了自直辖以来的对外发文记录共计178条，并向区人大常委会报备了4件规范性文件。</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楷体_GBK" w:cs="Times New Roman"/>
          <w:bCs/>
          <w:color w:val="auto"/>
          <w:sz w:val="32"/>
          <w:szCs w:val="32"/>
          <w:lang w:bidi="ar-SA"/>
        </w:rPr>
      </w:pPr>
      <w:r>
        <w:rPr>
          <w:rFonts w:hint="default" w:ascii="Times New Roman" w:hAnsi="Times New Roman" w:eastAsia="方正楷体_GBK" w:cs="Times New Roman"/>
          <w:bCs/>
          <w:color w:val="auto"/>
          <w:sz w:val="32"/>
          <w:szCs w:val="32"/>
          <w:lang w:bidi="ar-SA"/>
        </w:rPr>
        <w:t>（四）</w:t>
      </w:r>
      <w:r>
        <w:rPr>
          <w:rFonts w:hint="default" w:ascii="Times New Roman" w:hAnsi="Times New Roman" w:eastAsia="方正楷体_GBK" w:cs="Times New Roman"/>
          <w:bCs/>
          <w:color w:val="auto"/>
          <w:sz w:val="32"/>
          <w:szCs w:val="32"/>
          <w:lang w:val="en-US" w:eastAsia="zh-CN" w:bidi="ar-SA"/>
        </w:rPr>
        <w:t>重大决策部署落实情况</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jc w:val="both"/>
        <w:textAlignment w:val="auto"/>
        <w:rPr>
          <w:rFonts w:hint="eastAsia" w:cs="Times New Roman"/>
          <w:bCs/>
          <w:color w:val="auto"/>
          <w:sz w:val="32"/>
          <w:szCs w:val="32"/>
          <w:lang w:eastAsia="zh-CN" w:bidi="ar-SA"/>
        </w:rPr>
      </w:pPr>
      <w:r>
        <w:rPr>
          <w:rFonts w:ascii="Times New Roman" w:hAnsi="Times New Roman" w:eastAsia="方正仿宋_GBK" w:cs="Times New Roman"/>
          <w:bCs/>
          <w:color w:val="auto"/>
          <w:kern w:val="2"/>
          <w:sz w:val="32"/>
          <w:szCs w:val="32"/>
          <w:lang w:bidi="ar-SA"/>
        </w:rPr>
        <w:t>坚决贯彻法治政府建设的决策部署，确保率先实现突破性进展。我局在重大决策过程中，严格遵循《重庆市市场监督管理局重大行政决策程序实施办法》的规定，确保决策的科学性和合法性。充分发挥法律顾问的重要作用，目前我单位拥有5名符合公职律师执业条件的人员，均已成功申办公职律师资格，并且定期完成年审工作。我局内部法律顾问团队积极投身于行政决策、重大执法活动、法治审核以及制度建设等领域，为法治政府建设提供坚实的法律支持。同时，我局积极主动参与国家级法治政府建设示范区的创建活动，认真准备并提交相关创建资料，全力配合迎接检查评估工作，以实际行动支持法治政府建设示范工程。</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楷体_GBK" w:cs="Times New Roman"/>
          <w:bCs/>
          <w:color w:val="auto"/>
          <w:sz w:val="32"/>
          <w:szCs w:val="32"/>
          <w:lang w:bidi="ar-SA"/>
        </w:rPr>
      </w:pPr>
      <w:r>
        <w:rPr>
          <w:rFonts w:hint="default" w:ascii="Times New Roman" w:hAnsi="Times New Roman" w:eastAsia="方正楷体_GBK" w:cs="Times New Roman"/>
          <w:bCs/>
          <w:color w:val="auto"/>
          <w:sz w:val="32"/>
          <w:szCs w:val="32"/>
          <w:lang w:bidi="ar-SA"/>
        </w:rPr>
        <w:t>（五）</w:t>
      </w:r>
      <w:r>
        <w:rPr>
          <w:rFonts w:hint="default" w:ascii="Times New Roman" w:hAnsi="Times New Roman" w:eastAsia="方正楷体_GBK" w:cs="Times New Roman"/>
          <w:bCs/>
          <w:color w:val="auto"/>
          <w:sz w:val="32"/>
          <w:szCs w:val="32"/>
          <w:lang w:val="en-US" w:eastAsia="zh-CN" w:bidi="ar-SA"/>
        </w:rPr>
        <w:t>行政执法工作情况。</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lang w:bidi="ar-SA"/>
        </w:rPr>
      </w:pPr>
      <w:r>
        <w:rPr>
          <w:rFonts w:hint="default" w:ascii="Times New Roman" w:hAnsi="Times New Roman" w:eastAsia="方正仿宋_GBK" w:cs="Times New Roman"/>
          <w:bCs/>
          <w:color w:val="auto"/>
          <w:sz w:val="32"/>
          <w:szCs w:val="32"/>
          <w:lang w:bidi="ar-SA"/>
        </w:rPr>
        <w:t>深化行政执法体制改革。</w:t>
      </w:r>
      <w:r>
        <w:rPr>
          <w:rFonts w:hint="default" w:ascii="Times New Roman" w:hAnsi="Times New Roman" w:eastAsia="方正仿宋_GBK" w:cs="Times New Roman"/>
          <w:color w:val="auto"/>
          <w:sz w:val="32"/>
          <w:szCs w:val="32"/>
          <w:lang w:bidi="ar-SA"/>
        </w:rPr>
        <w:t>我局积极参与执法权限下放乡镇调研座谈会，积极向市局反馈区政府部署，科学谋划调整下放事项。</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bCs/>
          <w:color w:val="auto"/>
          <w:sz w:val="32"/>
          <w:szCs w:val="32"/>
          <w:lang w:bidi="ar-SA"/>
        </w:rPr>
      </w:pPr>
      <w:r>
        <w:rPr>
          <w:rFonts w:hint="default" w:ascii="Times New Roman" w:hAnsi="Times New Roman" w:eastAsia="方正仿宋_GBK" w:cs="Times New Roman"/>
          <w:bCs/>
          <w:color w:val="auto"/>
          <w:sz w:val="32"/>
          <w:szCs w:val="32"/>
          <w:lang w:bidi="ar-SA"/>
        </w:rPr>
        <w:t>全面推进严格规范公正文明执法。我局于202</w:t>
      </w:r>
      <w:r>
        <w:rPr>
          <w:rFonts w:hint="eastAsia" w:cs="Times New Roman"/>
          <w:bCs/>
          <w:color w:val="auto"/>
          <w:sz w:val="32"/>
          <w:szCs w:val="32"/>
          <w:lang w:val="en-US" w:eastAsia="zh-CN" w:bidi="ar-SA"/>
        </w:rPr>
        <w:t>4</w:t>
      </w:r>
      <w:r>
        <w:rPr>
          <w:rFonts w:hint="default" w:ascii="Times New Roman" w:hAnsi="Times New Roman" w:eastAsia="方正仿宋_GBK" w:cs="Times New Roman"/>
          <w:bCs/>
          <w:color w:val="auto"/>
          <w:sz w:val="32"/>
          <w:szCs w:val="32"/>
          <w:lang w:bidi="ar-SA"/>
        </w:rPr>
        <w:t>年</w:t>
      </w:r>
      <w:r>
        <w:rPr>
          <w:rFonts w:hint="eastAsia" w:cs="Times New Roman"/>
          <w:bCs/>
          <w:color w:val="auto"/>
          <w:sz w:val="32"/>
          <w:szCs w:val="32"/>
          <w:lang w:val="en-US" w:eastAsia="zh-CN" w:bidi="ar-SA"/>
        </w:rPr>
        <w:t>5</w:t>
      </w:r>
      <w:r>
        <w:rPr>
          <w:rFonts w:hint="default" w:ascii="Times New Roman" w:hAnsi="Times New Roman" w:eastAsia="方正仿宋_GBK" w:cs="Times New Roman"/>
          <w:bCs/>
          <w:color w:val="auto"/>
          <w:sz w:val="32"/>
          <w:szCs w:val="32"/>
          <w:lang w:bidi="ar-SA"/>
        </w:rPr>
        <w:t>月对新《</w:t>
      </w:r>
      <w:r>
        <w:rPr>
          <w:rFonts w:hint="eastAsia" w:cs="Times New Roman"/>
          <w:bCs/>
          <w:color w:val="auto"/>
          <w:sz w:val="32"/>
          <w:szCs w:val="32"/>
          <w:lang w:val="en-US" w:eastAsia="zh-CN" w:bidi="ar-SA"/>
        </w:rPr>
        <w:t>行政复议法</w:t>
      </w:r>
      <w:r>
        <w:rPr>
          <w:rFonts w:hint="default" w:ascii="Times New Roman" w:hAnsi="Times New Roman" w:eastAsia="方正仿宋_GBK" w:cs="Times New Roman"/>
          <w:bCs/>
          <w:color w:val="auto"/>
          <w:sz w:val="32"/>
          <w:szCs w:val="32"/>
          <w:lang w:bidi="ar-SA"/>
        </w:rPr>
        <w:t>》进行宣贯培训，202</w:t>
      </w:r>
      <w:r>
        <w:rPr>
          <w:rFonts w:hint="eastAsia" w:cs="Times New Roman"/>
          <w:bCs/>
          <w:color w:val="auto"/>
          <w:sz w:val="32"/>
          <w:szCs w:val="32"/>
          <w:lang w:val="en-US" w:eastAsia="zh-CN" w:bidi="ar-SA"/>
        </w:rPr>
        <w:t>4</w:t>
      </w:r>
      <w:r>
        <w:rPr>
          <w:rFonts w:hint="default" w:ascii="Times New Roman" w:hAnsi="Times New Roman" w:eastAsia="方正仿宋_GBK" w:cs="Times New Roman"/>
          <w:bCs/>
          <w:color w:val="auto"/>
          <w:sz w:val="32"/>
          <w:szCs w:val="32"/>
          <w:lang w:bidi="ar-SA"/>
        </w:rPr>
        <w:t>年</w:t>
      </w:r>
      <w:r>
        <w:rPr>
          <w:rFonts w:hint="eastAsia" w:cs="Times New Roman"/>
          <w:bCs/>
          <w:color w:val="auto"/>
          <w:sz w:val="32"/>
          <w:szCs w:val="32"/>
          <w:lang w:val="en-US" w:eastAsia="zh-CN" w:bidi="ar-SA"/>
        </w:rPr>
        <w:t>6</w:t>
      </w:r>
      <w:r>
        <w:rPr>
          <w:rFonts w:hint="default" w:ascii="Times New Roman" w:hAnsi="Times New Roman" w:eastAsia="方正仿宋_GBK" w:cs="Times New Roman"/>
          <w:bCs/>
          <w:color w:val="auto"/>
          <w:sz w:val="32"/>
          <w:szCs w:val="32"/>
          <w:lang w:bidi="ar-SA"/>
        </w:rPr>
        <w:t>月对</w:t>
      </w:r>
      <w:r>
        <w:rPr>
          <w:rFonts w:hint="eastAsia" w:cs="Times New Roman"/>
          <w:bCs/>
          <w:color w:val="auto"/>
          <w:sz w:val="32"/>
          <w:szCs w:val="32"/>
          <w:lang w:eastAsia="zh-CN" w:bidi="ar-SA"/>
        </w:rPr>
        <w:t>《</w:t>
      </w:r>
      <w:r>
        <w:rPr>
          <w:rFonts w:hint="eastAsia" w:cs="Times New Roman"/>
          <w:bCs/>
          <w:color w:val="auto"/>
          <w:sz w:val="32"/>
          <w:szCs w:val="32"/>
          <w:lang w:val="en-US" w:eastAsia="zh-CN" w:bidi="ar-SA"/>
        </w:rPr>
        <w:t>川渝市场监督管理领域常见违法行为行政处罚裁量因素积分制规则（试行）</w:t>
      </w:r>
      <w:r>
        <w:rPr>
          <w:rFonts w:hint="eastAsia" w:cs="Times New Roman"/>
          <w:bCs/>
          <w:color w:val="auto"/>
          <w:sz w:val="32"/>
          <w:szCs w:val="32"/>
          <w:lang w:eastAsia="zh-CN" w:bidi="ar-SA"/>
        </w:rPr>
        <w:t>》</w:t>
      </w:r>
      <w:r>
        <w:rPr>
          <w:rFonts w:hint="default" w:ascii="Times New Roman" w:hAnsi="Times New Roman" w:eastAsia="方正仿宋_GBK" w:cs="Times New Roman"/>
          <w:bCs/>
          <w:color w:val="auto"/>
          <w:sz w:val="32"/>
          <w:szCs w:val="32"/>
          <w:lang w:bidi="ar-SA"/>
        </w:rPr>
        <w:t>进行宣贯培训，持证的行政执法人员全员参加，提升了执法人员严格规范公正文明执法的意识和能力。常态化开展202</w:t>
      </w:r>
      <w:r>
        <w:rPr>
          <w:rFonts w:hint="eastAsia" w:cs="Times New Roman"/>
          <w:bCs/>
          <w:color w:val="auto"/>
          <w:sz w:val="32"/>
          <w:szCs w:val="32"/>
          <w:lang w:val="en-US" w:eastAsia="zh-CN" w:bidi="ar-SA"/>
        </w:rPr>
        <w:t>4</w:t>
      </w:r>
      <w:r>
        <w:rPr>
          <w:rFonts w:hint="default" w:ascii="Times New Roman" w:hAnsi="Times New Roman" w:eastAsia="方正仿宋_GBK" w:cs="Times New Roman"/>
          <w:bCs/>
          <w:color w:val="auto"/>
          <w:sz w:val="32"/>
          <w:szCs w:val="32"/>
          <w:lang w:bidi="ar-SA"/>
        </w:rPr>
        <w:t>年度的法治理论学习考试，进一步增强职工法治素养。</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楷体_GBK" w:cs="Times New Roman"/>
          <w:bCs/>
          <w:color w:val="auto"/>
          <w:sz w:val="32"/>
          <w:szCs w:val="32"/>
          <w:lang w:bidi="ar-SA"/>
        </w:rPr>
      </w:pPr>
      <w:r>
        <w:rPr>
          <w:rFonts w:hint="default" w:ascii="Times New Roman" w:hAnsi="Times New Roman" w:eastAsia="方正楷体_GBK" w:cs="Times New Roman"/>
          <w:bCs/>
          <w:color w:val="auto"/>
          <w:sz w:val="32"/>
          <w:szCs w:val="32"/>
          <w:lang w:val="en-US" w:eastAsia="zh-CN" w:bidi="ar-SA"/>
        </w:rPr>
        <w:t>（六）行政权力运行及受监督情况</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bCs/>
          <w:color w:val="auto"/>
          <w:sz w:val="32"/>
          <w:szCs w:val="32"/>
          <w:lang w:bidi="ar-SA"/>
        </w:rPr>
      </w:pPr>
      <w:r>
        <w:rPr>
          <w:rFonts w:hint="default" w:ascii="Times New Roman" w:hAnsi="Times New Roman" w:eastAsia="方正仿宋_GBK" w:cs="Times New Roman"/>
          <w:bCs/>
          <w:color w:val="auto"/>
          <w:sz w:val="32"/>
          <w:szCs w:val="32"/>
          <w:lang w:bidi="ar-SA"/>
        </w:rPr>
        <w:t>加强行政执法协调监督体系建设。我局组织新执法人员参与202</w:t>
      </w:r>
      <w:r>
        <w:rPr>
          <w:rFonts w:hint="eastAsia" w:cs="Times New Roman"/>
          <w:bCs/>
          <w:color w:val="auto"/>
          <w:sz w:val="32"/>
          <w:szCs w:val="32"/>
          <w:lang w:val="en-US" w:eastAsia="zh-CN" w:bidi="ar-SA"/>
        </w:rPr>
        <w:t>4</w:t>
      </w:r>
      <w:r>
        <w:rPr>
          <w:rFonts w:hint="default" w:ascii="Times New Roman" w:hAnsi="Times New Roman" w:eastAsia="方正仿宋_GBK" w:cs="Times New Roman"/>
          <w:bCs/>
          <w:color w:val="auto"/>
          <w:sz w:val="32"/>
          <w:szCs w:val="32"/>
          <w:lang w:bidi="ar-SA"/>
        </w:rPr>
        <w:t>年度执法人员资格考试</w:t>
      </w:r>
      <w:r>
        <w:rPr>
          <w:rFonts w:hint="eastAsia" w:ascii="Times New Roman" w:hAnsi="Times New Roman" w:eastAsia="方正仿宋_GBK" w:cs="Times New Roman"/>
          <w:bCs/>
          <w:color w:val="auto"/>
          <w:sz w:val="32"/>
          <w:szCs w:val="32"/>
          <w:lang w:eastAsia="zh-CN" w:bidi="ar-SA"/>
        </w:rPr>
        <w:t>并</w:t>
      </w:r>
      <w:r>
        <w:rPr>
          <w:rFonts w:hint="default" w:ascii="Times New Roman" w:hAnsi="Times New Roman" w:eastAsia="方正仿宋_GBK" w:cs="Times New Roman"/>
          <w:bCs/>
          <w:color w:val="auto"/>
          <w:sz w:val="32"/>
          <w:szCs w:val="32"/>
          <w:lang w:bidi="ar-SA"/>
        </w:rPr>
        <w:t>取得执法证</w:t>
      </w:r>
      <w:r>
        <w:rPr>
          <w:rFonts w:hint="eastAsia" w:cs="Times New Roman"/>
          <w:bCs/>
          <w:color w:val="auto"/>
          <w:sz w:val="32"/>
          <w:szCs w:val="32"/>
          <w:lang w:eastAsia="zh-CN" w:bidi="ar-SA"/>
        </w:rPr>
        <w:t>，</w:t>
      </w:r>
      <w:r>
        <w:rPr>
          <w:rFonts w:hint="default" w:ascii="Times New Roman" w:hAnsi="Times New Roman" w:eastAsia="方正仿宋_GBK" w:cs="Times New Roman"/>
          <w:bCs/>
          <w:color w:val="auto"/>
          <w:sz w:val="32"/>
          <w:szCs w:val="32"/>
          <w:lang w:bidi="ar-SA"/>
        </w:rPr>
        <w:t>财务科积极配发制服、标志，强化了执法保障。我局积极接受执法监督，202</w:t>
      </w:r>
      <w:r>
        <w:rPr>
          <w:rFonts w:hint="eastAsia" w:cs="Times New Roman"/>
          <w:bCs/>
          <w:color w:val="auto"/>
          <w:sz w:val="32"/>
          <w:szCs w:val="32"/>
          <w:lang w:val="en-US" w:eastAsia="zh-CN" w:bidi="ar-SA"/>
        </w:rPr>
        <w:t>,4</w:t>
      </w:r>
      <w:r>
        <w:rPr>
          <w:rFonts w:hint="default" w:ascii="Times New Roman" w:hAnsi="Times New Roman" w:eastAsia="方正仿宋_GBK" w:cs="Times New Roman"/>
          <w:bCs/>
          <w:color w:val="auto"/>
          <w:sz w:val="32"/>
          <w:szCs w:val="32"/>
          <w:lang w:bidi="ar-SA"/>
        </w:rPr>
        <w:t>年报送区司法局抽查评查案卷20件，报送市局法规处、市药监局政法处抽查评查案卷</w:t>
      </w:r>
      <w:r>
        <w:rPr>
          <w:rFonts w:hint="eastAsia" w:cs="Times New Roman"/>
          <w:bCs/>
          <w:color w:val="auto"/>
          <w:sz w:val="32"/>
          <w:szCs w:val="32"/>
          <w:lang w:val="en-US" w:eastAsia="zh-CN" w:bidi="ar-SA"/>
        </w:rPr>
        <w:t>10</w:t>
      </w:r>
      <w:r>
        <w:rPr>
          <w:rFonts w:hint="default" w:ascii="Times New Roman" w:hAnsi="Times New Roman" w:eastAsia="方正仿宋_GBK" w:cs="Times New Roman"/>
          <w:bCs/>
          <w:color w:val="auto"/>
          <w:sz w:val="32"/>
          <w:szCs w:val="32"/>
          <w:lang w:bidi="ar-SA"/>
        </w:rPr>
        <w:t>件。</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bCs/>
          <w:color w:val="auto"/>
          <w:sz w:val="32"/>
          <w:szCs w:val="32"/>
          <w:lang w:bidi="ar-SA"/>
        </w:rPr>
      </w:pPr>
      <w:r>
        <w:rPr>
          <w:rFonts w:hint="default" w:ascii="Times New Roman" w:hAnsi="Times New Roman" w:eastAsia="方正仿宋_GBK" w:cs="Times New Roman"/>
          <w:bCs/>
          <w:color w:val="auto"/>
          <w:sz w:val="32"/>
          <w:szCs w:val="32"/>
          <w:lang w:bidi="ar-SA"/>
        </w:rPr>
        <w:t>进一步加强和改进行政复议、行政应诉工作。202</w:t>
      </w:r>
      <w:r>
        <w:rPr>
          <w:rFonts w:hint="eastAsia" w:cs="Times New Roman"/>
          <w:bCs/>
          <w:color w:val="auto"/>
          <w:sz w:val="32"/>
          <w:szCs w:val="32"/>
          <w:lang w:val="en-US" w:eastAsia="zh-CN" w:bidi="ar-SA"/>
        </w:rPr>
        <w:t>4</w:t>
      </w:r>
      <w:r>
        <w:rPr>
          <w:rFonts w:hint="default" w:ascii="Times New Roman" w:hAnsi="Times New Roman" w:eastAsia="方正仿宋_GBK" w:cs="Times New Roman"/>
          <w:bCs/>
          <w:color w:val="auto"/>
          <w:sz w:val="32"/>
          <w:szCs w:val="32"/>
          <w:lang w:bidi="ar-SA"/>
        </w:rPr>
        <w:t>年我局答复行政复议</w:t>
      </w:r>
      <w:r>
        <w:rPr>
          <w:rFonts w:hint="eastAsia" w:cs="Times New Roman"/>
          <w:bCs/>
          <w:color w:val="auto"/>
          <w:sz w:val="32"/>
          <w:szCs w:val="32"/>
          <w:lang w:val="en-US" w:eastAsia="zh-CN" w:bidi="ar-SA"/>
        </w:rPr>
        <w:t>113</w:t>
      </w:r>
      <w:r>
        <w:rPr>
          <w:rFonts w:hint="default" w:ascii="Times New Roman" w:hAnsi="Times New Roman" w:eastAsia="方正仿宋_GBK" w:cs="Times New Roman"/>
          <w:bCs/>
          <w:color w:val="auto"/>
          <w:sz w:val="32"/>
          <w:szCs w:val="32"/>
          <w:lang w:bidi="ar-SA"/>
        </w:rPr>
        <w:t>件；应对行政诉讼</w:t>
      </w:r>
      <w:r>
        <w:rPr>
          <w:rFonts w:hint="eastAsia" w:cs="Times New Roman"/>
          <w:bCs/>
          <w:color w:val="auto"/>
          <w:sz w:val="32"/>
          <w:szCs w:val="32"/>
          <w:lang w:val="en-US" w:eastAsia="zh-CN" w:bidi="ar-SA"/>
        </w:rPr>
        <w:t>2</w:t>
      </w:r>
      <w:r>
        <w:rPr>
          <w:rFonts w:hint="default" w:ascii="Times New Roman" w:hAnsi="Times New Roman" w:eastAsia="方正仿宋_GBK" w:cs="Times New Roman"/>
          <w:bCs/>
          <w:color w:val="auto"/>
          <w:sz w:val="32"/>
          <w:szCs w:val="32"/>
          <w:lang w:bidi="ar-SA"/>
        </w:rPr>
        <w:t>件，行政机关负责人出庭应诉率100%。</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bCs/>
          <w:color w:val="auto"/>
          <w:sz w:val="32"/>
          <w:szCs w:val="32"/>
          <w:lang w:bidi="ar-SA"/>
        </w:rPr>
      </w:pPr>
      <w:r>
        <w:rPr>
          <w:rFonts w:hint="default" w:ascii="Times New Roman" w:hAnsi="Times New Roman" w:eastAsia="方正仿宋_GBK" w:cs="Times New Roman"/>
          <w:bCs/>
          <w:color w:val="auto"/>
          <w:sz w:val="32"/>
          <w:szCs w:val="32"/>
          <w:lang w:bidi="ar-SA"/>
        </w:rPr>
        <w:t>持续深化政务公开。我局全面贯彻落实《政府信息公开条例》，将依法主动公开内容全部公开，于202</w:t>
      </w:r>
      <w:r>
        <w:rPr>
          <w:rFonts w:hint="eastAsia" w:cs="Times New Roman"/>
          <w:bCs/>
          <w:color w:val="auto"/>
          <w:sz w:val="32"/>
          <w:szCs w:val="32"/>
          <w:lang w:val="en-US" w:eastAsia="zh-CN" w:bidi="ar-SA"/>
        </w:rPr>
        <w:t>4</w:t>
      </w:r>
      <w:r>
        <w:rPr>
          <w:rFonts w:hint="default" w:ascii="Times New Roman" w:hAnsi="Times New Roman" w:eastAsia="方正仿宋_GBK" w:cs="Times New Roman"/>
          <w:bCs/>
          <w:color w:val="auto"/>
          <w:sz w:val="32"/>
          <w:szCs w:val="32"/>
          <w:lang w:bidi="ar-SA"/>
        </w:rPr>
        <w:t>年</w:t>
      </w:r>
      <w:r>
        <w:rPr>
          <w:rFonts w:hint="eastAsia" w:cs="Times New Roman"/>
          <w:bCs/>
          <w:color w:val="auto"/>
          <w:sz w:val="32"/>
          <w:szCs w:val="32"/>
          <w:lang w:val="en-US" w:eastAsia="zh-CN" w:bidi="ar-SA"/>
        </w:rPr>
        <w:t>6</w:t>
      </w:r>
      <w:r>
        <w:rPr>
          <w:rFonts w:hint="default" w:ascii="Times New Roman" w:hAnsi="Times New Roman" w:eastAsia="方正仿宋_GBK" w:cs="Times New Roman"/>
          <w:bCs/>
          <w:color w:val="auto"/>
          <w:sz w:val="32"/>
          <w:szCs w:val="32"/>
          <w:lang w:bidi="ar-SA"/>
        </w:rPr>
        <w:t>月召开政务信息公开培训会，要求各业务口</w:t>
      </w:r>
      <w:r>
        <w:rPr>
          <w:rFonts w:hint="eastAsia" w:ascii="Times New Roman" w:hAnsi="Times New Roman" w:eastAsia="方正仿宋_GBK" w:cs="Times New Roman"/>
          <w:bCs/>
          <w:color w:val="auto"/>
          <w:sz w:val="32"/>
          <w:szCs w:val="32"/>
          <w:lang w:eastAsia="zh-CN" w:bidi="ar-SA"/>
        </w:rPr>
        <w:t>认真</w:t>
      </w:r>
      <w:r>
        <w:rPr>
          <w:rFonts w:hint="default" w:ascii="Times New Roman" w:hAnsi="Times New Roman" w:eastAsia="方正仿宋_GBK" w:cs="Times New Roman"/>
          <w:bCs/>
          <w:color w:val="auto"/>
          <w:sz w:val="32"/>
          <w:szCs w:val="32"/>
          <w:lang w:bidi="ar-SA"/>
        </w:rPr>
        <w:t>查漏补缺，积极迎接政务公开市级评估。认真办理政府信息公开申请，依法保障人民群众合理信息需求。</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楷体_GBK" w:cs="Times New Roman"/>
          <w:bCs/>
          <w:color w:val="auto"/>
          <w:sz w:val="32"/>
          <w:szCs w:val="32"/>
          <w:lang w:val="en-US" w:eastAsia="zh-CN" w:bidi="ar-SA"/>
        </w:rPr>
      </w:pPr>
      <w:r>
        <w:rPr>
          <w:rFonts w:hint="default" w:ascii="Times New Roman" w:hAnsi="Times New Roman" w:eastAsia="方正楷体_GBK" w:cs="Times New Roman"/>
          <w:bCs/>
          <w:color w:val="auto"/>
          <w:sz w:val="32"/>
          <w:szCs w:val="32"/>
          <w:lang w:val="en-US" w:eastAsia="zh-CN" w:bidi="ar-SA"/>
        </w:rPr>
        <w:t>（七）矛盾纠纷化解情况</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bCs/>
          <w:color w:val="auto"/>
          <w:sz w:val="32"/>
          <w:szCs w:val="32"/>
          <w:lang w:bidi="ar-SA"/>
        </w:rPr>
      </w:pPr>
      <w:r>
        <w:rPr>
          <w:rFonts w:hint="default" w:ascii="Times New Roman" w:hAnsi="Times New Roman" w:eastAsia="方正仿宋_GBK" w:cs="Times New Roman"/>
          <w:bCs/>
          <w:color w:val="auto"/>
          <w:sz w:val="32"/>
          <w:szCs w:val="32"/>
          <w:lang w:bidi="ar-SA"/>
        </w:rPr>
        <w:t>推进多层次多领域依法治理。202</w:t>
      </w:r>
      <w:r>
        <w:rPr>
          <w:rFonts w:hint="eastAsia" w:cs="Times New Roman"/>
          <w:bCs/>
          <w:color w:val="auto"/>
          <w:sz w:val="32"/>
          <w:szCs w:val="32"/>
          <w:lang w:val="en-US" w:eastAsia="zh-CN" w:bidi="ar-SA"/>
        </w:rPr>
        <w:t>4</w:t>
      </w:r>
      <w:r>
        <w:rPr>
          <w:rFonts w:hint="default" w:ascii="Times New Roman" w:hAnsi="Times New Roman" w:eastAsia="方正仿宋_GBK" w:cs="Times New Roman"/>
          <w:bCs/>
          <w:color w:val="auto"/>
          <w:sz w:val="32"/>
          <w:szCs w:val="32"/>
          <w:lang w:bidi="ar-SA"/>
        </w:rPr>
        <w:t>年度我局高效处置12315平台</w:t>
      </w:r>
      <w:r>
        <w:rPr>
          <w:rFonts w:hint="eastAsia" w:cs="Times New Roman"/>
          <w:bCs/>
          <w:color w:val="auto"/>
          <w:sz w:val="32"/>
          <w:szCs w:val="32"/>
          <w:lang w:eastAsia="zh-CN" w:bidi="ar-SA"/>
        </w:rPr>
        <w:t>、“</w:t>
      </w:r>
      <w:r>
        <w:rPr>
          <w:rFonts w:hint="eastAsia" w:cs="Times New Roman"/>
          <w:bCs/>
          <w:color w:val="auto"/>
          <w:sz w:val="32"/>
          <w:szCs w:val="32"/>
          <w:lang w:val="en-US" w:eastAsia="zh-CN" w:bidi="ar-SA"/>
        </w:rPr>
        <w:t>民呼我为</w:t>
      </w:r>
      <w:r>
        <w:rPr>
          <w:rFonts w:hint="eastAsia" w:cs="Times New Roman"/>
          <w:bCs/>
          <w:color w:val="auto"/>
          <w:sz w:val="32"/>
          <w:szCs w:val="32"/>
          <w:lang w:eastAsia="zh-CN" w:bidi="ar-SA"/>
        </w:rPr>
        <w:t>”</w:t>
      </w:r>
      <w:r>
        <w:rPr>
          <w:rFonts w:hint="eastAsia" w:cs="Times New Roman"/>
          <w:bCs/>
          <w:color w:val="auto"/>
          <w:sz w:val="32"/>
          <w:szCs w:val="32"/>
          <w:lang w:val="en-US" w:eastAsia="zh-CN" w:bidi="ar-SA"/>
        </w:rPr>
        <w:t>平台</w:t>
      </w:r>
      <w:r>
        <w:rPr>
          <w:rFonts w:hint="default" w:ascii="Times New Roman" w:hAnsi="Times New Roman" w:eastAsia="方正仿宋_GBK" w:cs="Times New Roman"/>
          <w:bCs/>
          <w:color w:val="auto"/>
          <w:sz w:val="32"/>
          <w:szCs w:val="32"/>
          <w:lang w:bidi="ar-SA"/>
        </w:rPr>
        <w:t>内投诉举报</w:t>
      </w:r>
      <w:r>
        <w:rPr>
          <w:rFonts w:hint="eastAsia" w:cs="Times New Roman"/>
          <w:bCs/>
          <w:color w:val="auto"/>
          <w:sz w:val="32"/>
          <w:szCs w:val="32"/>
          <w:lang w:val="en-US" w:eastAsia="zh-CN" w:bidi="ar-SA"/>
        </w:rPr>
        <w:t>和政务咨询投诉事项，全年办理12315平台投诉举报事项4405件，按时办结率100%。办理“民呼我为”平台政务咨询投诉事项1751件，处理率100%，综合满意率达85.4%。区消委会在我局指导下，受理并解决消费者投诉514件，解决率100%，消费者满意率达98%，为消费者挽回经济损失53.6万元，向有关部门移交案件线索1件，收到锦旗感谢1件，</w:t>
      </w:r>
      <w:r>
        <w:rPr>
          <w:rFonts w:hint="default" w:ascii="Times New Roman" w:hAnsi="Times New Roman" w:eastAsia="方正仿宋_GBK" w:cs="Times New Roman"/>
          <w:bCs/>
          <w:color w:val="auto"/>
          <w:sz w:val="32"/>
          <w:szCs w:val="32"/>
          <w:lang w:bidi="ar-SA"/>
        </w:rPr>
        <w:t>切实将矛盾纠纷化解在基层，保护了消费者的合法权益。</w:t>
      </w:r>
    </w:p>
    <w:p>
      <w:pPr>
        <w:keepNext w:val="0"/>
        <w:keepLines w:val="0"/>
        <w:pageBreakBefore w:val="0"/>
        <w:widowControl w:val="0"/>
        <w:numPr>
          <w:ilvl w:val="0"/>
          <w:numId w:val="2"/>
        </w:numPr>
        <w:kinsoku/>
        <w:overflowPunct/>
        <w:topLinePunct w:val="0"/>
        <w:autoSpaceDE/>
        <w:autoSpaceDN/>
        <w:bidi w:val="0"/>
        <w:adjustRightInd/>
        <w:snapToGrid/>
        <w:spacing w:line="550" w:lineRule="exact"/>
        <w:ind w:left="0" w:firstLine="640" w:firstLineChars="200"/>
        <w:textAlignment w:val="auto"/>
        <w:rPr>
          <w:rFonts w:hint="eastAsia" w:cs="Times New Roman"/>
          <w:bCs/>
          <w:color w:val="auto"/>
          <w:sz w:val="32"/>
          <w:szCs w:val="32"/>
          <w:lang w:val="en-US" w:eastAsia="zh-CN" w:bidi="ar-SA"/>
        </w:rPr>
      </w:pPr>
      <w:r>
        <w:rPr>
          <w:rFonts w:hint="eastAsia" w:ascii="Times New Roman" w:hAnsi="Times New Roman" w:eastAsia="方正楷体_GBK" w:cs="Times New Roman"/>
          <w:bCs/>
          <w:color w:val="auto"/>
          <w:sz w:val="32"/>
          <w:szCs w:val="32"/>
          <w:lang w:val="en-US" w:eastAsia="zh-CN" w:bidi="ar-SA"/>
        </w:rPr>
        <w:t>依法治理网络空间情况</w:t>
      </w:r>
    </w:p>
    <w:p>
      <w:pPr>
        <w:keepNext w:val="0"/>
        <w:keepLines w:val="0"/>
        <w:pageBreakBefore w:val="0"/>
        <w:widowControl w:val="0"/>
        <w:numPr>
          <w:ilvl w:val="0"/>
          <w:numId w:val="0"/>
        </w:numPr>
        <w:kinsoku/>
        <w:overflowPunct/>
        <w:topLinePunct w:val="0"/>
        <w:autoSpaceDE/>
        <w:autoSpaceDN/>
        <w:bidi w:val="0"/>
        <w:adjustRightInd/>
        <w:snapToGrid/>
        <w:spacing w:line="550" w:lineRule="exact"/>
        <w:jc w:val="both"/>
        <w:textAlignment w:val="auto"/>
        <w:rPr>
          <w:rFonts w:hint="default" w:eastAsia="方正仿宋_GBK" w:cs="Times New Roman"/>
          <w:bCs/>
          <w:color w:val="auto"/>
          <w:sz w:val="32"/>
          <w:szCs w:val="32"/>
          <w:lang w:val="en-US" w:eastAsia="zh-CN" w:bidi="ar-SA"/>
        </w:rPr>
      </w:pPr>
      <w:r>
        <w:rPr>
          <w:rFonts w:hint="eastAsia" w:cs="Times New Roman"/>
          <w:bCs/>
          <w:color w:val="auto"/>
          <w:sz w:val="32"/>
          <w:szCs w:val="32"/>
          <w:lang w:val="en-US" w:eastAsia="zh-CN" w:bidi="ar-SA"/>
        </w:rPr>
        <w:t xml:space="preserve">    </w:t>
      </w:r>
      <w:r>
        <w:rPr>
          <w:rFonts w:ascii="Times New Roman" w:hAnsi="Times New Roman" w:eastAsia="方正仿宋_GBK" w:cs="Times New Roman"/>
          <w:bCs/>
          <w:color w:val="auto"/>
          <w:kern w:val="2"/>
          <w:sz w:val="32"/>
          <w:szCs w:val="32"/>
          <w:lang w:bidi="ar-SA"/>
        </w:rPr>
        <w:t>根据上级重庆市2024网络市场监管促发展保安全专项行动的决策部署，我们集中力量针对社会广泛关注、影响范围广泛、反映问题突出的重点问题，严格依照法律法规开展专项行动，共查处各类涉网案件53件。我们积极推进网络交易主题库数据质量提升行动，处理市局分派数据2029条，建立数据库52个；对网站名称、域名、所有者名称、载体类型、标签数据项进行了全面检查，更新维护发生变化的数据项1637条、处理失效数据156条。我们加强了网络交易监测监管力度。对辖区内3个交易类平台、1个信息类平台、13个交易类非平台进行了每月动态监测；结合“3.15”“6.18”“双11”等重要时间节点，对795家网店、378个微信公众号、497个小程序、2689家外卖店铺进行了专项监测，排查处理市场监管领域网络市场监测系统移交涉嫌违法线索120条</w:t>
      </w:r>
      <w:r>
        <w:rPr>
          <w:rFonts w:hint="eastAsia" w:cs="Times New Roman"/>
          <w:bCs/>
          <w:color w:val="auto"/>
          <w:kern w:val="2"/>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bCs/>
          <w:color w:val="auto"/>
          <w:sz w:val="32"/>
          <w:szCs w:val="32"/>
          <w:lang w:bidi="ar-SA"/>
        </w:rPr>
      </w:pPr>
      <w:r>
        <w:rPr>
          <w:rFonts w:hint="default" w:ascii="Times New Roman" w:hAnsi="Times New Roman" w:eastAsia="方正黑体_GBK" w:cs="Times New Roman"/>
          <w:bCs/>
          <w:color w:val="auto"/>
          <w:sz w:val="32"/>
          <w:szCs w:val="32"/>
          <w:lang w:bidi="ar-SA"/>
        </w:rPr>
        <w:t>二、存在的问题</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bCs/>
          <w:color w:val="auto"/>
          <w:sz w:val="32"/>
          <w:szCs w:val="32"/>
          <w:lang w:bidi="ar-SA"/>
        </w:rPr>
      </w:pPr>
      <w:r>
        <w:rPr>
          <w:rFonts w:hint="default" w:ascii="Times New Roman" w:hAnsi="Times New Roman" w:eastAsia="方正仿宋_GBK" w:cs="Times New Roman"/>
          <w:bCs/>
          <w:color w:val="auto"/>
          <w:sz w:val="32"/>
          <w:szCs w:val="32"/>
          <w:lang w:bidi="ar-SA"/>
        </w:rPr>
        <w:t>一是少部分行政执法人员因年龄、学历等原因，在适应新形势行政执法工作上有差距，如在新的全国智慧执法系统操作和文书线上生成，利用执法记录仪开展执法全过程记录等方面有待加强。二是逐利</w:t>
      </w:r>
      <w:r>
        <w:rPr>
          <w:rFonts w:hint="eastAsia" w:ascii="方正仿宋_GBK" w:eastAsia="方正仿宋_GBK" w:cs="方正仿宋_GBK"/>
          <w:bCs/>
          <w:color w:val="auto"/>
          <w:sz w:val="32"/>
          <w:szCs w:val="32"/>
          <w:lang w:bidi="ar-SA"/>
        </w:rPr>
        <w:t>的“职业打假人”长期</w:t>
      </w:r>
      <w:r>
        <w:rPr>
          <w:rFonts w:hint="default" w:ascii="Times New Roman" w:hAnsi="Times New Roman" w:eastAsia="方正仿宋_GBK" w:cs="Times New Roman"/>
          <w:bCs/>
          <w:color w:val="auto"/>
          <w:sz w:val="32"/>
          <w:szCs w:val="32"/>
          <w:lang w:bidi="ar-SA"/>
        </w:rPr>
        <w:t>活跃，导致行政复议量增长较快，如有的对标签瑕疵紧盯不放，浪费了一部分行政资源。</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黑体_GBK" w:cs="Times New Roman"/>
          <w:bCs/>
          <w:color w:val="auto"/>
          <w:sz w:val="32"/>
          <w:szCs w:val="32"/>
          <w:lang w:bidi="ar-SA"/>
        </w:rPr>
      </w:pPr>
      <w:r>
        <w:rPr>
          <w:rFonts w:hint="default" w:ascii="Times New Roman" w:hAnsi="Times New Roman" w:eastAsia="方正黑体_GBK" w:cs="Times New Roman"/>
          <w:bCs/>
          <w:color w:val="auto"/>
          <w:sz w:val="32"/>
          <w:szCs w:val="32"/>
          <w:lang w:bidi="ar-SA"/>
        </w:rPr>
        <w:t>三、202</w:t>
      </w:r>
      <w:r>
        <w:rPr>
          <w:rFonts w:hint="eastAsia" w:eastAsia="方正黑体_GBK" w:cs="Times New Roman"/>
          <w:bCs/>
          <w:color w:val="auto"/>
          <w:sz w:val="32"/>
          <w:szCs w:val="32"/>
          <w:lang w:val="en-US" w:eastAsia="zh-CN" w:bidi="ar-SA"/>
        </w:rPr>
        <w:t>5</w:t>
      </w:r>
      <w:r>
        <w:rPr>
          <w:rFonts w:hint="default" w:ascii="Times New Roman" w:hAnsi="Times New Roman" w:eastAsia="方正黑体_GBK" w:cs="Times New Roman"/>
          <w:bCs/>
          <w:color w:val="auto"/>
          <w:sz w:val="32"/>
          <w:szCs w:val="32"/>
          <w:lang w:bidi="ar-SA"/>
        </w:rPr>
        <w:t>年主要工作思路和打算</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bCs/>
          <w:color w:val="auto"/>
          <w:sz w:val="32"/>
          <w:szCs w:val="32"/>
          <w:lang w:bidi="ar-SA"/>
        </w:rPr>
      </w:pPr>
      <w:r>
        <w:rPr>
          <w:rFonts w:hint="default" w:ascii="Times New Roman" w:hAnsi="Times New Roman" w:eastAsia="方正仿宋_GBK" w:cs="Times New Roman"/>
          <w:bCs/>
          <w:color w:val="auto"/>
          <w:sz w:val="32"/>
          <w:szCs w:val="32"/>
          <w:lang w:bidi="ar-SA"/>
        </w:rPr>
        <w:t>一是进一步学习宣传贯彻习近平法治思想，强化我局法治工作的政治引领和理论武装。二是进一步推进简政放权，持续优化营商环境，切实服务好市场主体，促进地方经济发展。三是进一步规范执法行为，狠抓重点领域专项整治，筑牢安全底线。四是进一步强化法治政府自身建设，在执法人员培训、政务信息公开、重大行政决策、复议应诉等方面持续推进法治政府建设。</w:t>
      </w:r>
    </w:p>
    <w:p>
      <w:pPr>
        <w:keepNext w:val="0"/>
        <w:keepLines w:val="0"/>
        <w:pageBreakBefore w:val="0"/>
        <w:widowControl w:val="0"/>
        <w:kinsoku/>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bCs/>
          <w:color w:val="auto"/>
          <w:sz w:val="32"/>
          <w:szCs w:val="32"/>
          <w:lang w:bidi="ar-SA"/>
        </w:rPr>
      </w:pPr>
    </w:p>
    <w:p>
      <w:pPr>
        <w:keepNext w:val="0"/>
        <w:keepLines w:val="0"/>
        <w:pageBreakBefore w:val="0"/>
        <w:widowControl w:val="0"/>
        <w:kinsoku/>
        <w:overflowPunct/>
        <w:topLinePunct w:val="0"/>
        <w:autoSpaceDE/>
        <w:autoSpaceDN/>
        <w:bidi w:val="0"/>
        <w:adjustRightInd/>
        <w:snapToGrid/>
        <w:spacing w:line="550" w:lineRule="exact"/>
        <w:ind w:left="0" w:firstLine="640" w:firstLineChars="200"/>
        <w:jc w:val="center"/>
        <w:textAlignment w:val="auto"/>
        <w:rPr>
          <w:rFonts w:hint="default" w:ascii="Times New Roman" w:hAnsi="Times New Roman" w:eastAsia="方正仿宋_GBK" w:cs="Times New Roman"/>
          <w:bCs/>
          <w:color w:val="auto"/>
          <w:sz w:val="32"/>
          <w:szCs w:val="32"/>
          <w:lang w:bidi="ar-SA"/>
        </w:rPr>
      </w:pPr>
      <w:r>
        <w:rPr>
          <w:rFonts w:hint="eastAsia" w:ascii="Times New Roman" w:hAnsi="Times New Roman" w:eastAsia="方正仿宋_GBK" w:cs="Times New Roman"/>
          <w:bCs/>
          <w:color w:val="auto"/>
          <w:sz w:val="32"/>
          <w:szCs w:val="32"/>
          <w:lang w:val="en-US" w:eastAsia="zh-CN" w:bidi="ar-SA"/>
        </w:rPr>
        <w:t xml:space="preserve">                  </w:t>
      </w:r>
      <w:r>
        <w:rPr>
          <w:rFonts w:hint="default" w:ascii="Times New Roman" w:hAnsi="Times New Roman" w:eastAsia="方正仿宋_GBK" w:cs="Times New Roman"/>
          <w:bCs/>
          <w:color w:val="auto"/>
          <w:sz w:val="32"/>
          <w:szCs w:val="32"/>
          <w:lang w:bidi="ar-SA"/>
        </w:rPr>
        <w:t>重庆市涪陵区市场监督管理局</w:t>
      </w:r>
    </w:p>
    <w:p>
      <w:pPr>
        <w:keepNext w:val="0"/>
        <w:keepLines w:val="0"/>
        <w:pageBreakBefore w:val="0"/>
        <w:widowControl w:val="0"/>
        <w:kinsoku/>
        <w:wordWrap w:val="0"/>
        <w:overflowPunct/>
        <w:topLinePunct w:val="0"/>
        <w:autoSpaceDE/>
        <w:autoSpaceDN/>
        <w:bidi w:val="0"/>
        <w:adjustRightInd/>
        <w:snapToGrid/>
        <w:spacing w:line="550" w:lineRule="exact"/>
        <w:ind w:left="0" w:firstLine="640" w:firstLineChars="200"/>
        <w:jc w:val="center"/>
        <w:textAlignment w:val="auto"/>
        <w:rPr>
          <w:rFonts w:hint="default" w:ascii="Times New Roman" w:hAnsi="Times New Roman" w:eastAsia="仿宋" w:cs="Times New Roman"/>
          <w:color w:val="auto"/>
          <w:sz w:val="30"/>
          <w:szCs w:val="30"/>
          <w:lang w:bidi="ar-SA"/>
        </w:rPr>
      </w:pPr>
      <w:r>
        <w:rPr>
          <w:rFonts w:hint="eastAsia" w:ascii="Times New Roman" w:hAnsi="Times New Roman" w:eastAsia="方正仿宋_GBK" w:cs="Times New Roman"/>
          <w:bCs/>
          <w:color w:val="auto"/>
          <w:sz w:val="32"/>
          <w:szCs w:val="32"/>
          <w:lang w:val="en-US" w:eastAsia="zh-CN" w:bidi="ar-SA"/>
        </w:rPr>
        <w:t xml:space="preserve">                  </w:t>
      </w:r>
      <w:r>
        <w:rPr>
          <w:rFonts w:hint="default" w:ascii="Times New Roman" w:hAnsi="Times New Roman" w:eastAsia="方正仿宋_GBK" w:cs="Times New Roman"/>
          <w:bCs/>
          <w:color w:val="auto"/>
          <w:sz w:val="32"/>
          <w:szCs w:val="32"/>
          <w:lang w:bidi="ar-SA"/>
        </w:rPr>
        <w:t>202</w:t>
      </w:r>
      <w:r>
        <w:rPr>
          <w:rFonts w:hint="eastAsia" w:cs="Times New Roman"/>
          <w:bCs/>
          <w:color w:val="auto"/>
          <w:sz w:val="32"/>
          <w:szCs w:val="32"/>
          <w:lang w:val="en-US" w:eastAsia="zh-CN" w:bidi="ar-SA"/>
        </w:rPr>
        <w:t>5</w:t>
      </w:r>
      <w:r>
        <w:rPr>
          <w:rFonts w:hint="default" w:ascii="Times New Roman" w:hAnsi="Times New Roman" w:eastAsia="方正仿宋_GBK" w:cs="Times New Roman"/>
          <w:bCs/>
          <w:color w:val="auto"/>
          <w:sz w:val="32"/>
          <w:szCs w:val="32"/>
          <w:lang w:bidi="ar-SA"/>
        </w:rPr>
        <w:t>年</w:t>
      </w:r>
      <w:r>
        <w:rPr>
          <w:rFonts w:hint="eastAsia" w:cs="Times New Roman"/>
          <w:bCs/>
          <w:color w:val="auto"/>
          <w:sz w:val="32"/>
          <w:szCs w:val="32"/>
          <w:lang w:val="en-US" w:eastAsia="zh-CN" w:bidi="ar-SA"/>
        </w:rPr>
        <w:t>3</w:t>
      </w:r>
      <w:r>
        <w:rPr>
          <w:rFonts w:hint="default" w:ascii="Times New Roman" w:hAnsi="Times New Roman" w:eastAsia="方正仿宋_GBK" w:cs="Times New Roman"/>
          <w:bCs/>
          <w:color w:val="auto"/>
          <w:sz w:val="32"/>
          <w:szCs w:val="32"/>
          <w:lang w:bidi="ar-SA"/>
        </w:rPr>
        <w:t>月</w:t>
      </w:r>
      <w:r>
        <w:rPr>
          <w:rFonts w:hint="eastAsia" w:cs="Times New Roman"/>
          <w:bCs/>
          <w:color w:val="auto"/>
          <w:sz w:val="32"/>
          <w:szCs w:val="32"/>
          <w:lang w:val="en-US" w:eastAsia="zh-CN" w:bidi="ar-SA"/>
        </w:rPr>
        <w:t>31</w:t>
      </w:r>
      <w:r>
        <w:rPr>
          <w:rFonts w:hint="default" w:ascii="Times New Roman" w:hAnsi="Times New Roman" w:eastAsia="方正仿宋_GBK" w:cs="Times New Roman"/>
          <w:bCs/>
          <w:color w:val="auto"/>
          <w:sz w:val="32"/>
          <w:szCs w:val="32"/>
          <w:lang w:bidi="ar-SA"/>
        </w:rPr>
        <w:t>日</w:t>
      </w:r>
      <w:r>
        <w:rPr>
          <w:rFonts w:hint="default" w:ascii="Times New Roman" w:hAnsi="Times New Roman" w:eastAsia="仿宋" w:cs="Times New Roman"/>
          <w:color w:val="auto"/>
          <w:sz w:val="30"/>
          <w:szCs w:val="30"/>
          <w:lang w:bidi="ar-SA"/>
        </w:rPr>
        <w:t xml:space="preserve">  </w:t>
      </w:r>
    </w:p>
    <w:p>
      <w:pPr>
        <w:keepNext w:val="0"/>
        <w:keepLines w:val="0"/>
        <w:pageBreakBefore w:val="0"/>
        <w:widowControl w:val="0"/>
        <w:kinsoku/>
        <w:wordWrap w:val="0"/>
        <w:overflowPunct/>
        <w:topLinePunct w:val="0"/>
        <w:autoSpaceDE/>
        <w:autoSpaceDN/>
        <w:bidi w:val="0"/>
        <w:adjustRightInd/>
        <w:snapToGrid/>
        <w:spacing w:line="550" w:lineRule="exact"/>
        <w:ind w:left="0" w:firstLine="600" w:firstLineChars="200"/>
        <w:jc w:val="both"/>
        <w:textAlignment w:val="auto"/>
        <w:rPr>
          <w:rFonts w:hint="default" w:ascii="Times New Roman" w:hAnsi="Times New Roman" w:eastAsia="仿宋" w:cs="Times New Roman"/>
          <w:color w:val="auto"/>
          <w:sz w:val="30"/>
          <w:szCs w:val="30"/>
          <w:lang w:bidi="ar-SA"/>
        </w:rPr>
      </w:pPr>
      <w:r>
        <w:rPr>
          <w:rFonts w:hint="eastAsia" w:eastAsia="仿宋" w:cs="Times New Roman"/>
          <w:color w:val="auto"/>
          <w:sz w:val="30"/>
          <w:szCs w:val="30"/>
          <w:lang w:eastAsia="zh-CN" w:bidi="ar-SA"/>
        </w:rPr>
        <w:t>（此件</w:t>
      </w:r>
      <w:r>
        <w:rPr>
          <w:rFonts w:eastAsia="仿宋" w:cs="Times New Roman"/>
          <w:color w:val="auto"/>
          <w:sz w:val="30"/>
          <w:szCs w:val="30"/>
          <w:lang w:eastAsia="zh-CN" w:bidi="ar-SA"/>
        </w:rPr>
        <w:t>主动公开</w:t>
      </w:r>
      <w:r>
        <w:rPr>
          <w:rFonts w:hint="eastAsia" w:eastAsia="仿宋" w:cs="Times New Roman"/>
          <w:color w:val="auto"/>
          <w:sz w:val="30"/>
          <w:szCs w:val="30"/>
          <w:lang w:eastAsia="zh-CN" w:bidi="ar-SA"/>
        </w:rPr>
        <w:t>）</w:t>
      </w:r>
      <w:r>
        <w:rPr>
          <w:rFonts w:hint="default" w:ascii="Times New Roman" w:hAnsi="Times New Roman" w:eastAsia="仿宋" w:cs="Times New Roman"/>
          <w:color w:val="auto"/>
          <w:sz w:val="30"/>
          <w:szCs w:val="30"/>
          <w:lang w:bidi="ar-S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E4E2A"/>
    <w:multiLevelType w:val="singleLevel"/>
    <w:tmpl w:val="B13E4E2A"/>
    <w:lvl w:ilvl="0" w:tentative="0">
      <w:start w:val="2"/>
      <w:numFmt w:val="chineseCounting"/>
      <w:suff w:val="nothing"/>
      <w:lvlText w:val="（%1）"/>
      <w:lvlJc w:val="left"/>
      <w:rPr>
        <w:rFonts w:hint="eastAsia"/>
      </w:rPr>
    </w:lvl>
  </w:abstractNum>
  <w:abstractNum w:abstractNumId="1">
    <w:nsid w:val="DD459FC2"/>
    <w:multiLevelType w:val="singleLevel"/>
    <w:tmpl w:val="DD459FC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MmZkN2U0YWY3YjJiNDViYWUzOGM3YmIyMDkzZWUifQ=="/>
  </w:docVars>
  <w:rsids>
    <w:rsidRoot w:val="00000000"/>
    <w:rsid w:val="00822EDE"/>
    <w:rsid w:val="00C5165B"/>
    <w:rsid w:val="07C4665F"/>
    <w:rsid w:val="08C57DE4"/>
    <w:rsid w:val="08C86C9E"/>
    <w:rsid w:val="09C32272"/>
    <w:rsid w:val="0C8F3E18"/>
    <w:rsid w:val="0D786870"/>
    <w:rsid w:val="0D790A7D"/>
    <w:rsid w:val="0E4D6812"/>
    <w:rsid w:val="0F703E70"/>
    <w:rsid w:val="0F7F7B00"/>
    <w:rsid w:val="118754F1"/>
    <w:rsid w:val="13AB0DEB"/>
    <w:rsid w:val="15B544BA"/>
    <w:rsid w:val="15E807ED"/>
    <w:rsid w:val="16C76ACB"/>
    <w:rsid w:val="1719702D"/>
    <w:rsid w:val="17887553"/>
    <w:rsid w:val="183C0365"/>
    <w:rsid w:val="183F1C26"/>
    <w:rsid w:val="1A2441C9"/>
    <w:rsid w:val="1A64177D"/>
    <w:rsid w:val="1A887A0F"/>
    <w:rsid w:val="1B2F237A"/>
    <w:rsid w:val="1B756445"/>
    <w:rsid w:val="1BC3210A"/>
    <w:rsid w:val="1BF82889"/>
    <w:rsid w:val="1C1E4CC8"/>
    <w:rsid w:val="1C5865D4"/>
    <w:rsid w:val="20001FFF"/>
    <w:rsid w:val="2069462F"/>
    <w:rsid w:val="22121211"/>
    <w:rsid w:val="22E4363F"/>
    <w:rsid w:val="24FE7C5A"/>
    <w:rsid w:val="26BB2DBB"/>
    <w:rsid w:val="27C162A0"/>
    <w:rsid w:val="2814736D"/>
    <w:rsid w:val="284535B3"/>
    <w:rsid w:val="2925172D"/>
    <w:rsid w:val="2A3A364C"/>
    <w:rsid w:val="2A921FCD"/>
    <w:rsid w:val="2BB70468"/>
    <w:rsid w:val="2E2A44CC"/>
    <w:rsid w:val="30642655"/>
    <w:rsid w:val="31DB14F2"/>
    <w:rsid w:val="33630741"/>
    <w:rsid w:val="34131345"/>
    <w:rsid w:val="35441A8F"/>
    <w:rsid w:val="363366C3"/>
    <w:rsid w:val="36CF50C3"/>
    <w:rsid w:val="37DB30FD"/>
    <w:rsid w:val="38123ECB"/>
    <w:rsid w:val="395C0605"/>
    <w:rsid w:val="39BC44CB"/>
    <w:rsid w:val="3CF71AB6"/>
    <w:rsid w:val="3D016777"/>
    <w:rsid w:val="408728B3"/>
    <w:rsid w:val="41FC2B12"/>
    <w:rsid w:val="455B4231"/>
    <w:rsid w:val="47826DC5"/>
    <w:rsid w:val="485F7A2B"/>
    <w:rsid w:val="48D4589B"/>
    <w:rsid w:val="4A502D5E"/>
    <w:rsid w:val="4AC82146"/>
    <w:rsid w:val="4C5949B0"/>
    <w:rsid w:val="4F560CAB"/>
    <w:rsid w:val="50534482"/>
    <w:rsid w:val="50B777FD"/>
    <w:rsid w:val="51AC3DD4"/>
    <w:rsid w:val="54AE2AD2"/>
    <w:rsid w:val="565D1661"/>
    <w:rsid w:val="567A17A9"/>
    <w:rsid w:val="59105328"/>
    <w:rsid w:val="5A49074C"/>
    <w:rsid w:val="5B5446B7"/>
    <w:rsid w:val="5C03640F"/>
    <w:rsid w:val="5CE551E4"/>
    <w:rsid w:val="5E8E218B"/>
    <w:rsid w:val="5EFC04E3"/>
    <w:rsid w:val="6065645A"/>
    <w:rsid w:val="61FB01F4"/>
    <w:rsid w:val="62702A75"/>
    <w:rsid w:val="62D6535E"/>
    <w:rsid w:val="63A7715B"/>
    <w:rsid w:val="644621C0"/>
    <w:rsid w:val="64BD75A2"/>
    <w:rsid w:val="653A473E"/>
    <w:rsid w:val="664724F4"/>
    <w:rsid w:val="666B0C6F"/>
    <w:rsid w:val="66EF5BB2"/>
    <w:rsid w:val="6808499B"/>
    <w:rsid w:val="682F22DF"/>
    <w:rsid w:val="69705640"/>
    <w:rsid w:val="69D511CF"/>
    <w:rsid w:val="6A090257"/>
    <w:rsid w:val="6EBB3E3A"/>
    <w:rsid w:val="74030D8A"/>
    <w:rsid w:val="74065F93"/>
    <w:rsid w:val="74573C94"/>
    <w:rsid w:val="74CA1027"/>
    <w:rsid w:val="75381E91"/>
    <w:rsid w:val="75A36C9B"/>
    <w:rsid w:val="7655166F"/>
    <w:rsid w:val="77514F4F"/>
    <w:rsid w:val="78FD6DDA"/>
    <w:rsid w:val="790338DF"/>
    <w:rsid w:val="79732CBB"/>
    <w:rsid w:val="7A065D2B"/>
    <w:rsid w:val="7C487728"/>
    <w:rsid w:val="7DE7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343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2024-04-17T08:20:00Z</dcterms:created>
  <dc:creator>Administrator</dc:creator>
  <cp:lastModifiedBy>任正伟</cp:lastModifiedBy>
  <dcterms:modified xsi:type="dcterms:W3CDTF">2025-03-31T04:05:20Z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A416AAEA1C6849BE8C7C95B3061B7747_12</vt:lpwstr>
  </property>
</Properties>
</file>