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方正小标宋简体" w:eastAsia="方正小标宋简体" w:cs="方正仿宋简体"/>
          <w:color w:val="000000"/>
          <w:sz w:val="32"/>
          <w:szCs w:val="32"/>
        </w:rPr>
      </w:pPr>
      <w:r>
        <w:rPr>
          <w:rFonts w:hint="eastAsia" w:ascii="方正小标宋简体" w:eastAsia="方正小标宋简体" w:cs="方正仿宋简体"/>
          <w:color w:val="000000"/>
          <w:sz w:val="32"/>
          <w:szCs w:val="32"/>
          <w:lang w:eastAsia="zh-CN"/>
        </w:rPr>
        <w:t>涪陵区冷热饮水机</w:t>
      </w:r>
      <w:r>
        <w:rPr>
          <w:rFonts w:hint="eastAsia" w:ascii="方正小标宋简体" w:eastAsia="方正小标宋简体" w:cs="方正仿宋简体"/>
          <w:color w:val="000000"/>
          <w:sz w:val="32"/>
          <w:szCs w:val="32"/>
        </w:rPr>
        <w:t>产品质量监督抽查实施细则</w:t>
      </w:r>
    </w:p>
    <w:p>
      <w:pPr>
        <w:snapToGrid w:val="0"/>
        <w:spacing w:line="360" w:lineRule="auto"/>
        <w:jc w:val="center"/>
        <w:rPr>
          <w:rFonts w:hint="eastAsia" w:ascii="方正小标宋简体" w:eastAsia="方正小标宋简体" w:cs="方正仿宋简体"/>
          <w:color w:val="000000"/>
          <w:sz w:val="32"/>
          <w:szCs w:val="32"/>
        </w:rPr>
      </w:pPr>
      <w:r>
        <w:rPr>
          <w:rFonts w:hint="eastAsia" w:ascii="方正小标宋简体" w:eastAsia="方正小标宋简体" w:cs="方正仿宋简体"/>
          <w:color w:val="000000"/>
          <w:sz w:val="32"/>
          <w:szCs w:val="32"/>
        </w:rPr>
        <w:t>（2022年</w:t>
      </w:r>
      <w:r>
        <w:rPr>
          <w:rFonts w:hint="eastAsia" w:ascii="方正小标宋简体" w:eastAsia="方正小标宋简体" w:cs="方正仿宋简体"/>
          <w:sz w:val="32"/>
          <w:szCs w:val="32"/>
          <w:lang w:eastAsia="zh-CN"/>
        </w:rPr>
        <w:t>招标产品</w:t>
      </w:r>
      <w:r>
        <w:rPr>
          <w:rFonts w:hint="eastAsia" w:ascii="方正小标宋简体" w:eastAsia="方正小标宋简体" w:cs="方正仿宋简体"/>
          <w:color w:val="000000"/>
          <w:sz w:val="32"/>
          <w:szCs w:val="32"/>
        </w:rPr>
        <w:t>）</w:t>
      </w:r>
    </w:p>
    <w:p>
      <w:pPr>
        <w:snapToGrid w:val="0"/>
        <w:spacing w:line="440" w:lineRule="exact"/>
        <w:ind w:firstLine="359" w:firstLineChars="171"/>
        <w:rPr>
          <w:rFonts w:ascii="宋体"/>
          <w:color w:val="000000"/>
          <w:szCs w:val="21"/>
        </w:rPr>
      </w:pPr>
    </w:p>
    <w:p>
      <w:pPr>
        <w:snapToGrid w:val="0"/>
        <w:spacing w:line="440" w:lineRule="exact"/>
        <w:rPr>
          <w:rFonts w:ascii="黑体" w:eastAsia="黑体"/>
          <w:color w:val="000000"/>
          <w:szCs w:val="21"/>
        </w:rPr>
      </w:pPr>
      <w:r>
        <w:rPr>
          <w:rFonts w:hint="eastAsia" w:ascii="黑体" w:eastAsia="黑体"/>
          <w:color w:val="000000"/>
          <w:szCs w:val="21"/>
        </w:rPr>
        <w:t>1 抽样方法</w:t>
      </w:r>
    </w:p>
    <w:p>
      <w:pPr>
        <w:snapToGrid w:val="0"/>
        <w:spacing w:line="440" w:lineRule="exact"/>
        <w:ind w:firstLine="420" w:firstLineChars="200"/>
        <w:rPr>
          <w:rFonts w:ascii="宋体"/>
          <w:color w:val="000000"/>
          <w:szCs w:val="21"/>
        </w:rPr>
      </w:pPr>
      <w:r>
        <w:rPr>
          <w:rFonts w:hint="eastAsia" w:ascii="宋体"/>
          <w:color w:val="000000"/>
          <w:szCs w:val="21"/>
        </w:rPr>
        <w:t>在</w:t>
      </w:r>
      <w:r>
        <w:rPr>
          <w:rFonts w:hint="eastAsia" w:ascii="宋体"/>
          <w:szCs w:val="21"/>
        </w:rPr>
        <w:t>生产者、销售者</w:t>
      </w:r>
      <w:r>
        <w:rPr>
          <w:rFonts w:hint="eastAsia" w:ascii="宋体"/>
          <w:color w:val="000000"/>
          <w:szCs w:val="21"/>
        </w:rPr>
        <w:t>的待销产品中随机抽取有产品质量检验合格证明或者以其他形式表明合格的、近期生产的产品。</w:t>
      </w:r>
    </w:p>
    <w:p>
      <w:pPr>
        <w:snapToGrid w:val="0"/>
        <w:spacing w:line="440" w:lineRule="exact"/>
        <w:ind w:firstLine="420" w:firstLineChars="200"/>
        <w:rPr>
          <w:rFonts w:ascii="宋体"/>
          <w:color w:val="000000"/>
          <w:szCs w:val="21"/>
        </w:rPr>
      </w:pPr>
      <w:r>
        <w:rPr>
          <w:rFonts w:hint="eastAsia" w:ascii="宋体"/>
          <w:color w:val="000000"/>
          <w:szCs w:val="21"/>
        </w:rPr>
        <w:t>抽查样品基数满足抽样数量即可。</w:t>
      </w:r>
    </w:p>
    <w:p>
      <w:pPr>
        <w:snapToGrid w:val="0"/>
        <w:spacing w:line="440" w:lineRule="exact"/>
        <w:ind w:firstLine="420" w:firstLineChars="200"/>
        <w:rPr>
          <w:rFonts w:hint="eastAsia" w:ascii="宋体"/>
          <w:color w:val="000000"/>
          <w:szCs w:val="21"/>
        </w:rPr>
      </w:pPr>
      <w:r>
        <w:rPr>
          <w:rFonts w:hint="eastAsia" w:ascii="宋体"/>
          <w:color w:val="000000"/>
          <w:szCs w:val="21"/>
        </w:rPr>
        <w:t>同一生产者按照同一标准生产的同一商标、同一规格型号的产品抽取样品2台，其中1台作为检验样品，1台作为备用样品。</w:t>
      </w:r>
    </w:p>
    <w:p>
      <w:pPr>
        <w:snapToGrid w:val="0"/>
        <w:spacing w:line="440" w:lineRule="exact"/>
        <w:ind w:firstLine="420" w:firstLineChars="200"/>
        <w:rPr>
          <w:rFonts w:hint="eastAsia" w:ascii="宋体"/>
          <w:color w:val="000000"/>
          <w:szCs w:val="21"/>
        </w:rPr>
      </w:pPr>
      <w:r>
        <w:rPr>
          <w:rFonts w:hint="eastAsia" w:ascii="宋体"/>
          <w:color w:val="000000"/>
          <w:szCs w:val="21"/>
        </w:rPr>
        <w:t>随机数抽样，随机数一般可使用随机数表、随机数骰子或扑克牌等方法产生。</w:t>
      </w:r>
    </w:p>
    <w:p>
      <w:pPr>
        <w:widowControl/>
        <w:ind w:firstLine="420" w:firstLineChars="200"/>
        <w:jc w:val="left"/>
        <w:rPr>
          <w:rFonts w:hint="eastAsia" w:ascii="宋体"/>
          <w:color w:val="000000"/>
          <w:szCs w:val="21"/>
        </w:rPr>
      </w:pPr>
    </w:p>
    <w:p>
      <w:pPr>
        <w:snapToGrid w:val="0"/>
        <w:spacing w:line="440" w:lineRule="exact"/>
        <w:rPr>
          <w:rFonts w:hint="eastAsia" w:ascii="黑体" w:eastAsia="黑体"/>
          <w:color w:val="000000"/>
          <w:szCs w:val="21"/>
        </w:rPr>
      </w:pPr>
      <w:r>
        <w:rPr>
          <w:rFonts w:hint="eastAsia" w:ascii="黑体" w:eastAsia="黑体"/>
          <w:color w:val="000000"/>
          <w:szCs w:val="21"/>
        </w:rPr>
        <w:t>2 检验依据</w:t>
      </w:r>
    </w:p>
    <w:p>
      <w:pPr>
        <w:snapToGrid w:val="0"/>
        <w:spacing w:line="440" w:lineRule="exact"/>
        <w:jc w:val="center"/>
        <w:rPr>
          <w:rFonts w:hint="eastAsia" w:ascii="宋体"/>
          <w:color w:val="000000"/>
          <w:szCs w:val="21"/>
        </w:rPr>
      </w:pPr>
      <w:r>
        <w:rPr>
          <w:rFonts w:hint="eastAsia" w:ascii="宋体"/>
          <w:color w:val="000000"/>
          <w:szCs w:val="21"/>
        </w:rPr>
        <w:t xml:space="preserve">表1  </w:t>
      </w:r>
      <w:r>
        <w:rPr>
          <w:rFonts w:ascii="宋体"/>
          <w:color w:val="000000"/>
          <w:szCs w:val="21"/>
        </w:rPr>
        <w:t>检验项目</w:t>
      </w:r>
    </w:p>
    <w:tbl>
      <w:tblPr>
        <w:tblStyle w:val="5"/>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817"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序号</w:t>
            </w:r>
          </w:p>
        </w:tc>
        <w:tc>
          <w:tcPr>
            <w:tcW w:w="2693"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检验项目</w:t>
            </w:r>
          </w:p>
        </w:tc>
        <w:tc>
          <w:tcPr>
            <w:tcW w:w="2835"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判定依据</w:t>
            </w:r>
          </w:p>
        </w:tc>
        <w:tc>
          <w:tcPr>
            <w:tcW w:w="2828"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napToGrid w:val="0"/>
              <w:spacing w:line="440" w:lineRule="exact"/>
              <w:jc w:val="center"/>
              <w:rPr>
                <w:rFonts w:hint="default" w:ascii="宋体" w:eastAsia="宋体" w:cs="Times New Roman"/>
                <w:color w:val="000000"/>
                <w:szCs w:val="21"/>
                <w:lang w:val="en-US" w:eastAsia="zh-CN"/>
              </w:rPr>
            </w:pPr>
            <w:r>
              <w:rPr>
                <w:rFonts w:hint="eastAsia" w:ascii="宋体" w:cs="Times New Roman"/>
                <w:color w:val="000000"/>
                <w:szCs w:val="21"/>
                <w:lang w:val="en-US" w:eastAsia="zh-CN"/>
              </w:rPr>
              <w:t>1</w:t>
            </w:r>
          </w:p>
        </w:tc>
        <w:tc>
          <w:tcPr>
            <w:tcW w:w="2693" w:type="dxa"/>
            <w:vAlign w:val="center"/>
          </w:tcPr>
          <w:p>
            <w:pPr>
              <w:widowControl/>
              <w:adjustRightInd w:val="0"/>
              <w:snapToGrid w:val="0"/>
              <w:jc w:val="center"/>
              <w:rPr>
                <w:rFonts w:hint="eastAsia" w:ascii="宋体" w:eastAsia="宋体" w:cs="宋体"/>
                <w:color w:val="000000"/>
                <w:szCs w:val="21"/>
                <w:lang w:eastAsia="zh-CN"/>
              </w:rPr>
            </w:pPr>
            <w:r>
              <w:rPr>
                <w:rFonts w:hint="eastAsia" w:ascii="宋体" w:cs="宋体"/>
                <w:color w:val="000000"/>
                <w:szCs w:val="21"/>
                <w:lang w:eastAsia="zh-CN"/>
              </w:rPr>
              <w:t>标志和说明</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adjustRightInd w:val="0"/>
              <w:snapToGrid w:val="0"/>
              <w:jc w:val="center"/>
              <w:rPr>
                <w:rFonts w:hint="eastAsia" w:ascii="宋体" w:eastAsia="宋体" w:cs="宋体"/>
                <w:color w:val="000000"/>
                <w:szCs w:val="21"/>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adjustRightInd w:val="0"/>
              <w:snapToGrid w:val="0"/>
              <w:jc w:val="center"/>
              <w:rPr>
                <w:rFonts w:hint="eastAsia" w:ascii="宋体" w:eastAsia="宋体" w:cs="宋体"/>
                <w:szCs w:val="21"/>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2</w:t>
            </w:r>
          </w:p>
        </w:tc>
        <w:tc>
          <w:tcPr>
            <w:tcW w:w="2693" w:type="dxa"/>
            <w:vAlign w:val="center"/>
          </w:tcPr>
          <w:p>
            <w:pPr>
              <w:widowControl/>
              <w:adjustRightInd w:val="0"/>
              <w:snapToGrid w:val="0"/>
              <w:jc w:val="center"/>
              <w:rPr>
                <w:rFonts w:hint="eastAsia" w:ascii="宋体" w:eastAsia="宋体" w:cs="宋体"/>
                <w:color w:val="000000"/>
                <w:szCs w:val="21"/>
              </w:rPr>
            </w:pPr>
            <w:r>
              <w:rPr>
                <w:rFonts w:hint="eastAsia" w:ascii="宋体" w:eastAsia="宋体" w:cs="宋体"/>
                <w:color w:val="000000"/>
                <w:szCs w:val="21"/>
              </w:rPr>
              <w:t>对触及带电部件的防护</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adjustRightInd w:val="0"/>
              <w:snapToGrid w:val="0"/>
              <w:jc w:val="center"/>
              <w:rPr>
                <w:rFonts w:hint="eastAsia" w:ascii="宋体" w:eastAsia="宋体" w:cs="宋体"/>
                <w:color w:val="000000"/>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adjustRightInd w:val="0"/>
              <w:snapToGrid w:val="0"/>
              <w:jc w:val="center"/>
              <w:rPr>
                <w:rFonts w:hint="eastAsia" w:ascii="宋体" w:eastAsia="宋体" w:cs="Times New Roman"/>
                <w:color w:val="000000"/>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3</w:t>
            </w:r>
          </w:p>
        </w:tc>
        <w:tc>
          <w:tcPr>
            <w:tcW w:w="2693" w:type="dxa"/>
            <w:vAlign w:val="center"/>
          </w:tcPr>
          <w:p>
            <w:pPr>
              <w:adjustRightInd w:val="0"/>
              <w:snapToGrid w:val="0"/>
              <w:jc w:val="center"/>
              <w:rPr>
                <w:rFonts w:hint="eastAsia" w:ascii="宋体" w:eastAsia="宋体" w:cs="Times New Roman"/>
                <w:color w:val="000000"/>
                <w:szCs w:val="21"/>
              </w:rPr>
            </w:pPr>
            <w:r>
              <w:rPr>
                <w:rFonts w:hint="eastAsia" w:ascii="宋体" w:eastAsia="宋体" w:cs="宋体"/>
                <w:color w:val="000000"/>
                <w:szCs w:val="21"/>
              </w:rPr>
              <w:t>输入功率和电流</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adjustRightInd w:val="0"/>
              <w:snapToGrid w:val="0"/>
              <w:jc w:val="center"/>
              <w:rPr>
                <w:rFonts w:hint="eastAsia" w:ascii="宋体" w:eastAsia="宋体" w:cs="Times New Roman"/>
                <w:color w:val="000000"/>
                <w:szCs w:val="21"/>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widowControl/>
              <w:adjustRightInd w:val="0"/>
              <w:snapToGrid w:val="0"/>
              <w:jc w:val="center"/>
              <w:rPr>
                <w:rFonts w:hint="eastAsia" w:ascii="宋体" w:eastAsia="宋体" w:cs="宋体"/>
                <w:color w:val="000000"/>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4</w:t>
            </w:r>
          </w:p>
        </w:tc>
        <w:tc>
          <w:tcPr>
            <w:tcW w:w="2693" w:type="dxa"/>
            <w:vAlign w:val="center"/>
          </w:tcPr>
          <w:p>
            <w:pPr>
              <w:adjustRightInd w:val="0"/>
              <w:snapToGrid w:val="0"/>
              <w:jc w:val="center"/>
              <w:rPr>
                <w:rFonts w:hint="eastAsia" w:ascii="宋体" w:eastAsia="宋体" w:cs="宋体"/>
                <w:color w:val="000000"/>
                <w:szCs w:val="21"/>
              </w:rPr>
            </w:pPr>
            <w:r>
              <w:rPr>
                <w:rFonts w:hint="eastAsia" w:ascii="宋体" w:eastAsia="宋体" w:cs="宋体"/>
                <w:color w:val="000000"/>
                <w:szCs w:val="21"/>
              </w:rPr>
              <w:t>工作温度下的泄漏电流和电气强度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adjustRightInd w:val="0"/>
              <w:snapToGrid w:val="0"/>
              <w:jc w:val="center"/>
              <w:rPr>
                <w:rFonts w:hint="eastAsia" w:ascii="宋体" w:eastAsia="宋体" w:cs="宋体"/>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widowControl/>
              <w:adjustRightInd w:val="0"/>
              <w:snapToGrid w:val="0"/>
              <w:jc w:val="center"/>
              <w:rPr>
                <w:rFonts w:hint="eastAsia" w:ascii="宋体" w:eastAsia="宋体" w:cs="宋体"/>
                <w:color w:val="000000"/>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5</w:t>
            </w:r>
          </w:p>
        </w:tc>
        <w:tc>
          <w:tcPr>
            <w:tcW w:w="2693" w:type="dxa"/>
            <w:vAlign w:val="center"/>
          </w:tcPr>
          <w:p>
            <w:pPr>
              <w:adjustRightInd w:val="0"/>
              <w:snapToGrid w:val="0"/>
              <w:jc w:val="center"/>
              <w:rPr>
                <w:rFonts w:hint="eastAsia" w:ascii="宋体" w:eastAsia="宋体" w:cs="Times New Roman"/>
                <w:color w:val="000000"/>
                <w:szCs w:val="21"/>
              </w:rPr>
            </w:pPr>
            <w:r>
              <w:rPr>
                <w:rFonts w:hint="eastAsia" w:ascii="宋体" w:eastAsia="宋体" w:cs="宋体"/>
                <w:color w:val="000000"/>
                <w:szCs w:val="21"/>
              </w:rPr>
              <w:t>稳定性和机械危险</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adjustRightInd w:val="0"/>
              <w:snapToGrid w:val="0"/>
              <w:jc w:val="center"/>
              <w:rPr>
                <w:rFonts w:hint="eastAsia" w:ascii="宋体" w:eastAsia="宋体" w:cs="Times New Roman"/>
                <w:color w:val="000000"/>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widowControl/>
              <w:adjustRightInd w:val="0"/>
              <w:snapToGrid w:val="0"/>
              <w:jc w:val="center"/>
              <w:rPr>
                <w:rFonts w:hint="eastAsia" w:ascii="宋体" w:eastAsia="宋体" w:cs="宋体"/>
                <w:color w:val="000000"/>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6</w:t>
            </w:r>
          </w:p>
        </w:tc>
        <w:tc>
          <w:tcPr>
            <w:tcW w:w="2693" w:type="dxa"/>
            <w:vAlign w:val="center"/>
          </w:tcPr>
          <w:p>
            <w:pPr>
              <w:adjustRightInd w:val="0"/>
              <w:snapToGrid w:val="0"/>
              <w:jc w:val="center"/>
              <w:rPr>
                <w:rFonts w:hint="eastAsia" w:ascii="宋体" w:eastAsia="宋体" w:cs="Times New Roman"/>
                <w:color w:val="000000"/>
                <w:szCs w:val="21"/>
                <w:lang w:eastAsia="zh-CN"/>
              </w:rPr>
            </w:pPr>
            <w:r>
              <w:rPr>
                <w:rFonts w:hint="eastAsia" w:ascii="宋体" w:cs="Times New Roman"/>
                <w:color w:val="000000"/>
                <w:szCs w:val="21"/>
                <w:lang w:eastAsia="zh-CN"/>
              </w:rPr>
              <w:t>元件</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adjustRightInd w:val="0"/>
              <w:snapToGrid w:val="0"/>
              <w:jc w:val="center"/>
              <w:rPr>
                <w:rFonts w:hint="eastAsia" w:ascii="宋体" w:eastAsia="宋体" w:cs="Times New Roman"/>
                <w:color w:val="000000"/>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widowControl/>
              <w:adjustRightInd w:val="0"/>
              <w:snapToGrid w:val="0"/>
              <w:jc w:val="center"/>
              <w:rPr>
                <w:rFonts w:hint="eastAsia" w:ascii="宋体" w:eastAsia="宋体" w:cs="宋体"/>
                <w:color w:val="000000"/>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7</w:t>
            </w:r>
          </w:p>
        </w:tc>
        <w:tc>
          <w:tcPr>
            <w:tcW w:w="2693" w:type="dxa"/>
            <w:vAlign w:val="center"/>
          </w:tcPr>
          <w:p>
            <w:pPr>
              <w:wordWrap w:val="0"/>
              <w:adjustRightInd w:val="0"/>
              <w:snapToGrid w:val="0"/>
              <w:jc w:val="center"/>
              <w:rPr>
                <w:rFonts w:hint="eastAsia" w:ascii="宋体" w:eastAsia="宋体" w:cs="宋体"/>
                <w:color w:val="000000"/>
                <w:szCs w:val="21"/>
              </w:rPr>
            </w:pPr>
            <w:r>
              <w:rPr>
                <w:rFonts w:hint="eastAsia" w:ascii="宋体" w:eastAsia="宋体" w:cs="宋体"/>
                <w:color w:val="000000"/>
                <w:szCs w:val="21"/>
              </w:rPr>
              <w:t>结构</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adjustRightInd w:val="0"/>
              <w:snapToGrid w:val="0"/>
              <w:jc w:val="center"/>
              <w:rPr>
                <w:rFonts w:hint="eastAsia" w:ascii="宋体" w:eastAsia="宋体" w:cs="宋体"/>
                <w:color w:val="000000"/>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widowControl/>
              <w:adjustRightInd w:val="0"/>
              <w:snapToGrid w:val="0"/>
              <w:jc w:val="center"/>
              <w:rPr>
                <w:rFonts w:hint="eastAsia" w:ascii="宋体" w:eastAsia="宋体" w:cs="宋体"/>
                <w:color w:val="000000"/>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8</w:t>
            </w:r>
          </w:p>
        </w:tc>
        <w:tc>
          <w:tcPr>
            <w:tcW w:w="2693" w:type="dxa"/>
            <w:vAlign w:val="center"/>
          </w:tcPr>
          <w:p>
            <w:pPr>
              <w:adjustRightInd w:val="0"/>
              <w:snapToGrid w:val="0"/>
              <w:jc w:val="center"/>
              <w:rPr>
                <w:rFonts w:hint="eastAsia" w:ascii="宋体" w:eastAsia="宋体" w:cs="Times New Roman"/>
                <w:color w:val="000000"/>
                <w:szCs w:val="21"/>
              </w:rPr>
            </w:pPr>
            <w:r>
              <w:rPr>
                <w:rFonts w:hint="eastAsia" w:ascii="宋体" w:eastAsia="宋体" w:cs="宋体"/>
                <w:color w:val="000000"/>
                <w:szCs w:val="21"/>
              </w:rPr>
              <w:t>内部布线</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adjustRightInd w:val="0"/>
              <w:snapToGrid w:val="0"/>
              <w:jc w:val="center"/>
              <w:rPr>
                <w:rFonts w:hint="eastAsia" w:ascii="宋体" w:eastAsia="宋体" w:cs="Times New Roman"/>
                <w:color w:val="000000"/>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widowControl/>
              <w:adjustRightInd w:val="0"/>
              <w:snapToGrid w:val="0"/>
              <w:jc w:val="center"/>
              <w:rPr>
                <w:rFonts w:hint="eastAsia" w:ascii="宋体" w:eastAsia="宋体" w:cs="宋体"/>
                <w:color w:val="000000"/>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9</w:t>
            </w:r>
          </w:p>
        </w:tc>
        <w:tc>
          <w:tcPr>
            <w:tcW w:w="2693" w:type="dxa"/>
            <w:vAlign w:val="center"/>
          </w:tcPr>
          <w:p>
            <w:pPr>
              <w:adjustRightInd w:val="0"/>
              <w:snapToGrid w:val="0"/>
              <w:jc w:val="center"/>
              <w:rPr>
                <w:rFonts w:hint="eastAsia" w:ascii="宋体" w:eastAsia="宋体" w:cs="Times New Roman"/>
                <w:color w:val="000000"/>
                <w:szCs w:val="21"/>
              </w:rPr>
            </w:pPr>
            <w:r>
              <w:rPr>
                <w:rFonts w:hint="eastAsia" w:ascii="宋体" w:eastAsia="宋体" w:cs="宋体"/>
                <w:color w:val="000000"/>
                <w:szCs w:val="21"/>
              </w:rPr>
              <w:t>电源连接和外部软线</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adjustRightInd w:val="0"/>
              <w:snapToGrid w:val="0"/>
              <w:jc w:val="center"/>
              <w:rPr>
                <w:rFonts w:hint="eastAsia" w:ascii="宋体" w:eastAsia="宋体" w:cs="Times New Roman"/>
                <w:color w:val="000000"/>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widowControl/>
              <w:adjustRightInd w:val="0"/>
              <w:snapToGrid w:val="0"/>
              <w:jc w:val="center"/>
              <w:rPr>
                <w:rFonts w:hint="eastAsia" w:ascii="宋体" w:eastAsia="宋体" w:cs="宋体"/>
                <w:color w:val="000000"/>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default" w:ascii="宋体" w:eastAsia="宋体" w:cs="Times New Roman"/>
                <w:color w:val="000000"/>
                <w:szCs w:val="21"/>
                <w:lang w:val="en-US" w:eastAsia="zh-CN"/>
              </w:rPr>
            </w:pPr>
            <w:r>
              <w:rPr>
                <w:rFonts w:hint="eastAsia" w:ascii="宋体" w:cs="Times New Roman"/>
                <w:color w:val="000000"/>
                <w:szCs w:val="21"/>
                <w:lang w:val="en-US" w:eastAsia="zh-CN"/>
              </w:rPr>
              <w:t>10</w:t>
            </w:r>
          </w:p>
        </w:tc>
        <w:tc>
          <w:tcPr>
            <w:tcW w:w="2693" w:type="dxa"/>
            <w:vAlign w:val="center"/>
          </w:tcPr>
          <w:p>
            <w:pPr>
              <w:adjustRightInd w:val="0"/>
              <w:snapToGrid w:val="0"/>
              <w:jc w:val="center"/>
              <w:rPr>
                <w:rFonts w:hint="eastAsia" w:ascii="宋体" w:eastAsia="宋体" w:cs="宋体"/>
                <w:color w:val="000000"/>
                <w:szCs w:val="21"/>
              </w:rPr>
            </w:pPr>
            <w:r>
              <w:rPr>
                <w:rFonts w:hint="eastAsia" w:ascii="宋体" w:eastAsia="宋体" w:cs="宋体"/>
                <w:color w:val="000000"/>
                <w:szCs w:val="21"/>
              </w:rPr>
              <w:t>接地措施</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adjustRightInd w:val="0"/>
              <w:snapToGrid w:val="0"/>
              <w:jc w:val="center"/>
              <w:rPr>
                <w:rFonts w:hint="eastAsia" w:ascii="宋体" w:eastAsia="宋体" w:cs="宋体"/>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widowControl/>
              <w:adjustRightInd w:val="0"/>
              <w:snapToGrid w:val="0"/>
              <w:jc w:val="center"/>
              <w:rPr>
                <w:rFonts w:hint="eastAsia" w:ascii="宋体" w:eastAsia="宋体" w:cs="宋体"/>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default" w:ascii="宋体" w:eastAsia="宋体" w:cs="Times New Roman"/>
                <w:color w:val="000000"/>
                <w:szCs w:val="21"/>
                <w:lang w:val="en-US" w:eastAsia="zh-CN"/>
              </w:rPr>
            </w:pPr>
            <w:r>
              <w:rPr>
                <w:rFonts w:hint="eastAsia" w:ascii="宋体" w:cs="Times New Roman"/>
                <w:color w:val="000000"/>
                <w:szCs w:val="21"/>
                <w:lang w:val="en-US" w:eastAsia="zh-CN"/>
              </w:rPr>
              <w:t>11</w:t>
            </w:r>
          </w:p>
        </w:tc>
        <w:tc>
          <w:tcPr>
            <w:tcW w:w="2693" w:type="dxa"/>
            <w:vAlign w:val="center"/>
          </w:tcPr>
          <w:p>
            <w:pPr>
              <w:adjustRightInd w:val="0"/>
              <w:snapToGrid w:val="0"/>
              <w:jc w:val="center"/>
              <w:rPr>
                <w:rFonts w:hint="eastAsia" w:ascii="宋体" w:eastAsia="宋体" w:cs="宋体"/>
                <w:color w:val="000000"/>
                <w:szCs w:val="21"/>
                <w:lang w:eastAsia="zh-CN"/>
              </w:rPr>
            </w:pPr>
            <w:r>
              <w:rPr>
                <w:rFonts w:hint="eastAsia" w:ascii="宋体" w:cs="宋体"/>
                <w:color w:val="000000"/>
                <w:szCs w:val="21"/>
                <w:lang w:eastAsia="zh-CN"/>
              </w:rPr>
              <w:t>螺钉和连接</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adjustRightInd w:val="0"/>
              <w:snapToGrid w:val="0"/>
              <w:jc w:val="center"/>
              <w:rPr>
                <w:rFonts w:hint="eastAsia" w:ascii="宋体" w:eastAsia="宋体" w:cs="宋体"/>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widowControl/>
              <w:adjustRightInd w:val="0"/>
              <w:snapToGrid w:val="0"/>
              <w:jc w:val="center"/>
              <w:rPr>
                <w:rFonts w:hint="eastAsia" w:ascii="宋体" w:eastAsia="宋体" w:cs="宋体"/>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default" w:ascii="宋体" w:eastAsia="宋体" w:cs="Times New Roman"/>
                <w:color w:val="000000"/>
                <w:szCs w:val="21"/>
                <w:lang w:val="en-US" w:eastAsia="zh-CN"/>
              </w:rPr>
            </w:pPr>
            <w:r>
              <w:rPr>
                <w:rFonts w:hint="eastAsia" w:ascii="宋体" w:cs="Times New Roman"/>
                <w:color w:val="000000"/>
                <w:szCs w:val="21"/>
                <w:lang w:val="en-US" w:eastAsia="zh-CN"/>
              </w:rPr>
              <w:t>12</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eastAsia="zh-CN"/>
              </w:rPr>
              <w:t>电气间隙、爬电距离</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adjustRightInd w:val="0"/>
              <w:snapToGrid w:val="0"/>
              <w:jc w:val="center"/>
              <w:rPr>
                <w:rFonts w:hint="eastAsia" w:ascii="宋体" w:eastAsia="宋体" w:cs="宋体"/>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 xml:space="preserve">GB 4706.1-2005 </w:t>
            </w:r>
          </w:p>
          <w:p>
            <w:pPr>
              <w:widowControl/>
              <w:adjustRightInd w:val="0"/>
              <w:snapToGrid w:val="0"/>
              <w:jc w:val="center"/>
              <w:rPr>
                <w:rFonts w:hint="eastAsia" w:ascii="宋体" w:eastAsia="宋体" w:cs="宋体"/>
                <w:szCs w:val="21"/>
                <w:lang w:val="en-US" w:eastAsia="zh-CN"/>
              </w:rPr>
            </w:pPr>
            <w:r>
              <w:rPr>
                <w:rFonts w:hint="eastAsia" w:ascii="宋体" w:eastAsia="宋体" w:cs="宋体"/>
                <w:color w:val="000000"/>
                <w:szCs w:val="21"/>
              </w:rPr>
              <w:t>GB 4706.</w:t>
            </w:r>
            <w:r>
              <w:rPr>
                <w:rFonts w:hint="eastAsia" w:ascii="宋体" w:cs="宋体"/>
                <w:color w:val="000000"/>
                <w:szCs w:val="21"/>
                <w:lang w:val="en-US" w:eastAsia="zh-CN"/>
              </w:rPr>
              <w:t>19</w:t>
            </w:r>
            <w:r>
              <w:rPr>
                <w:rFonts w:hint="eastAsia" w:ascii="宋体" w:eastAsia="宋体" w:cs="宋体"/>
                <w:color w:val="000000"/>
                <w:szCs w:val="21"/>
              </w:rPr>
              <w:t>-200</w:t>
            </w:r>
            <w:r>
              <w:rPr>
                <w:rFonts w:hint="eastAsia" w:ascii="宋体" w:cs="宋体"/>
                <w:color w:val="000000"/>
                <w:szCs w:val="21"/>
                <w:lang w:val="en-US" w:eastAsia="zh-CN"/>
              </w:rPr>
              <w:t>8</w:t>
            </w:r>
          </w:p>
        </w:tc>
      </w:tr>
    </w:tbl>
    <w:p>
      <w:pPr>
        <w:snapToGrid w:val="0"/>
        <w:spacing w:line="440" w:lineRule="exact"/>
        <w:ind w:firstLine="359" w:firstLineChars="171"/>
        <w:rPr>
          <w:rFonts w:hint="eastAsia" w:ascii="宋体"/>
          <w:color w:val="000000"/>
          <w:szCs w:val="21"/>
        </w:rPr>
      </w:pPr>
      <w:r>
        <w:rPr>
          <w:rFonts w:hint="eastAsia" w:ascii="宋体"/>
          <w:color w:val="000000"/>
          <w:szCs w:val="21"/>
        </w:rPr>
        <w:t>凡是注日期的文件，其随后所有的修改单（不包括勘误的内容）或修订版不适用于本细则。</w:t>
      </w:r>
    </w:p>
    <w:p>
      <w:pPr>
        <w:snapToGrid w:val="0"/>
        <w:spacing w:line="440" w:lineRule="exact"/>
        <w:ind w:firstLine="359" w:firstLineChars="171"/>
        <w:rPr>
          <w:rFonts w:ascii="宋体"/>
          <w:color w:val="000000"/>
          <w:szCs w:val="21"/>
        </w:rPr>
      </w:pPr>
    </w:p>
    <w:p>
      <w:pPr>
        <w:spacing w:line="360" w:lineRule="auto"/>
        <w:rPr>
          <w:rFonts w:hint="eastAsia" w:ascii="黑体" w:eastAsia="黑体"/>
          <w:color w:val="000000"/>
          <w:szCs w:val="21"/>
        </w:rPr>
      </w:pPr>
      <w:r>
        <w:rPr>
          <w:rFonts w:hint="eastAsia" w:ascii="黑体" w:eastAsia="黑体"/>
          <w:color w:val="000000"/>
          <w:szCs w:val="21"/>
        </w:rPr>
        <w:t>3 判定规则</w:t>
      </w:r>
    </w:p>
    <w:p>
      <w:pPr>
        <w:snapToGrid w:val="0"/>
        <w:spacing w:line="440" w:lineRule="exact"/>
        <w:rPr>
          <w:rFonts w:ascii="宋体"/>
          <w:color w:val="000000"/>
          <w:szCs w:val="21"/>
        </w:rPr>
      </w:pPr>
      <w:r>
        <w:rPr>
          <w:rFonts w:hint="eastAsia" w:ascii="宋体"/>
          <w:color w:val="000000"/>
          <w:szCs w:val="21"/>
        </w:rPr>
        <w:t>3.1依据标准</w:t>
      </w:r>
    </w:p>
    <w:p>
      <w:pPr>
        <w:snapToGrid w:val="0"/>
        <w:spacing w:line="440" w:lineRule="exact"/>
        <w:ind w:firstLine="420" w:firstLineChars="200"/>
        <w:rPr>
          <w:rFonts w:hint="eastAsia" w:ascii="宋体"/>
          <w:color w:val="000000"/>
          <w:szCs w:val="21"/>
        </w:rPr>
      </w:pPr>
      <w:r>
        <w:rPr>
          <w:rFonts w:ascii="宋体"/>
          <w:color w:val="000000"/>
          <w:szCs w:val="21"/>
        </w:rPr>
        <w:t xml:space="preserve">GB </w:t>
      </w:r>
      <w:r>
        <w:rPr>
          <w:rFonts w:hint="eastAsia" w:ascii="宋体"/>
          <w:color w:val="000000"/>
          <w:szCs w:val="21"/>
        </w:rPr>
        <w:t>4706.1</w:t>
      </w:r>
      <w:r>
        <w:rPr>
          <w:rFonts w:ascii="宋体"/>
          <w:color w:val="000000"/>
          <w:szCs w:val="21"/>
        </w:rPr>
        <w:t>-200</w:t>
      </w:r>
      <w:r>
        <w:rPr>
          <w:rFonts w:hint="eastAsia" w:ascii="宋体"/>
          <w:color w:val="000000"/>
          <w:szCs w:val="21"/>
        </w:rPr>
        <w:t>5《家用和类似用途电器的安全 第1部分:通用要求》</w:t>
      </w:r>
    </w:p>
    <w:p>
      <w:pPr>
        <w:snapToGrid w:val="0"/>
        <w:spacing w:line="440" w:lineRule="exact"/>
        <w:ind w:firstLine="420" w:firstLineChars="200"/>
        <w:rPr>
          <w:rFonts w:hint="eastAsia" w:ascii="宋体"/>
          <w:color w:val="000000"/>
          <w:szCs w:val="21"/>
        </w:rPr>
      </w:pPr>
      <w:r>
        <w:rPr>
          <w:rFonts w:ascii="宋体"/>
          <w:color w:val="000000"/>
          <w:szCs w:val="21"/>
        </w:rPr>
        <w:t xml:space="preserve">GB </w:t>
      </w:r>
      <w:r>
        <w:rPr>
          <w:rFonts w:hint="eastAsia" w:ascii="宋体"/>
          <w:color w:val="000000"/>
          <w:szCs w:val="21"/>
        </w:rPr>
        <w:t>4706.</w:t>
      </w:r>
      <w:r>
        <w:rPr>
          <w:rFonts w:hint="eastAsia" w:ascii="宋体"/>
          <w:color w:val="000000"/>
          <w:szCs w:val="21"/>
          <w:lang w:val="en-US" w:eastAsia="zh-CN"/>
        </w:rPr>
        <w:t>19</w:t>
      </w:r>
      <w:bookmarkStart w:id="0" w:name="_GoBack"/>
      <w:bookmarkEnd w:id="0"/>
      <w:r>
        <w:rPr>
          <w:rFonts w:ascii="宋体"/>
          <w:color w:val="000000"/>
          <w:szCs w:val="21"/>
        </w:rPr>
        <w:t>-</w:t>
      </w:r>
      <w:r>
        <w:rPr>
          <w:rFonts w:hint="eastAsia" w:ascii="宋体"/>
          <w:color w:val="000000"/>
          <w:szCs w:val="21"/>
          <w:lang w:val="en-US" w:eastAsia="zh-CN"/>
        </w:rPr>
        <w:t>2008</w:t>
      </w:r>
      <w:r>
        <w:rPr>
          <w:rFonts w:hint="eastAsia" w:ascii="宋体"/>
          <w:color w:val="000000"/>
          <w:szCs w:val="21"/>
        </w:rPr>
        <w:t xml:space="preserve">《家用和类似用途电器的安全 </w:t>
      </w:r>
      <w:r>
        <w:rPr>
          <w:rFonts w:hint="eastAsia" w:ascii="宋体"/>
          <w:color w:val="000000"/>
          <w:szCs w:val="21"/>
          <w:lang w:eastAsia="zh-CN"/>
        </w:rPr>
        <w:t>液体加热器</w:t>
      </w:r>
      <w:r>
        <w:rPr>
          <w:rFonts w:hint="eastAsia" w:ascii="宋体"/>
          <w:color w:val="000000"/>
          <w:szCs w:val="21"/>
        </w:rPr>
        <w:t>的特殊要求》</w:t>
      </w:r>
    </w:p>
    <w:p>
      <w:pPr>
        <w:snapToGrid w:val="0"/>
        <w:spacing w:line="440" w:lineRule="exact"/>
        <w:ind w:firstLine="420" w:firstLineChars="200"/>
        <w:rPr>
          <w:rFonts w:hint="eastAsia" w:ascii="宋体" w:cs="宋体"/>
          <w:szCs w:val="21"/>
        </w:rPr>
      </w:pPr>
      <w:r>
        <w:rPr>
          <w:rFonts w:hint="eastAsia" w:ascii="宋体"/>
          <w:szCs w:val="21"/>
        </w:rPr>
        <w:t>相关的法律、行政法规、部门规章、规范性文件</w:t>
      </w:r>
    </w:p>
    <w:p>
      <w:pPr>
        <w:snapToGrid w:val="0"/>
        <w:spacing w:line="440" w:lineRule="exact"/>
        <w:ind w:firstLine="420" w:firstLineChars="200"/>
        <w:rPr>
          <w:rFonts w:hint="eastAsia" w:ascii="宋体"/>
          <w:color w:val="000000"/>
          <w:szCs w:val="21"/>
        </w:rPr>
      </w:pPr>
      <w:r>
        <w:rPr>
          <w:rFonts w:hint="eastAsia" w:ascii="宋体"/>
          <w:color w:val="000000"/>
          <w:szCs w:val="21"/>
        </w:rPr>
        <w:t>现行有效的企业标准、团体标准、地方标准及产品明示质量要求</w:t>
      </w:r>
    </w:p>
    <w:p>
      <w:pPr>
        <w:snapToGrid w:val="0"/>
        <w:spacing w:line="440" w:lineRule="exact"/>
        <w:rPr>
          <w:rFonts w:ascii="宋体"/>
          <w:color w:val="000000"/>
          <w:szCs w:val="21"/>
        </w:rPr>
      </w:pPr>
      <w:r>
        <w:rPr>
          <w:rFonts w:hint="eastAsia" w:ascii="宋体"/>
          <w:color w:val="000000"/>
          <w:szCs w:val="21"/>
        </w:rPr>
        <w:t>3.2判定原则</w:t>
      </w:r>
    </w:p>
    <w:p>
      <w:pPr>
        <w:snapToGrid w:val="0"/>
        <w:spacing w:line="440" w:lineRule="exact"/>
        <w:ind w:firstLine="420" w:firstLineChars="200"/>
        <w:rPr>
          <w:rFonts w:ascii="宋体"/>
          <w:color w:val="000000"/>
          <w:szCs w:val="21"/>
        </w:rPr>
      </w:pPr>
      <w:r>
        <w:rPr>
          <w:rFonts w:hint="eastAsia" w:asci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若被检产品明示的质量要求低于或包含细则中检验项目依据的推荐性标准要求时，应以被检产品明示的质量要求判定，但应在检验报告备注中进行说明。</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若被检产品明示的质量要求缺少本细则中检验项目依据的推荐性标准要求时，该项目不参与判定，但应在检验报告备注中进行说明。</w:t>
      </w:r>
    </w:p>
    <w:p>
      <w:pPr>
        <w:snapToGrid w:val="0"/>
        <w:spacing w:line="440" w:lineRule="exact"/>
        <w:rPr>
          <w:rFonts w:asci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fldChar w:fldCharType="separate"/>
    </w:r>
    <w:r>
      <w:rPr>
        <w:rStyle w:val="7"/>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NTY2OTE2MTYxZmNhYmFjMjMxZGMwNjc2YzQwNTJhNTIifQ=="/>
  </w:docVars>
  <w:rsids>
    <w:rsidRoot w:val="00000000"/>
    <w:rsid w:val="0AB13280"/>
    <w:rsid w:val="35636441"/>
    <w:rsid w:val="3E164EF2"/>
    <w:rsid w:val="4648236F"/>
    <w:rsid w:val="4E5F6AF4"/>
    <w:rsid w:val="583D3886"/>
    <w:rsid w:val="5E8C4750"/>
    <w:rsid w:val="62D620A1"/>
    <w:rsid w:val="644405EB"/>
    <w:rsid w:val="6582049A"/>
    <w:rsid w:val="743F3293"/>
    <w:rsid w:val="7FDE2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rPr>
      <w:rFonts w:ascii="Times New Roman" w:hAnsi="Times New Roman" w:eastAsia="宋体" w:cs="Times New Roman"/>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4">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character" w:styleId="7">
    <w:name w:val="page number"/>
    <w:qFormat/>
    <w:uiPriority w:val="0"/>
    <w:rPr>
      <w:rFonts w:ascii="Times New Roman" w:hAnsi="Times New Roman" w:eastAsia="宋体" w:cs="Times New Roman"/>
    </w:rPr>
  </w:style>
  <w:style w:type="character" w:customStyle="1" w:styleId="8">
    <w:name w:val="页眉 Char"/>
    <w:qFormat/>
    <w:uiPriority w:val="0"/>
    <w:rPr>
      <w:rFonts w:ascii="Times New Roman" w:hAnsi="Times New Roman" w:eastAsia="宋体" w:cs="Times New Roman"/>
      <w:kern w:val="2"/>
      <w:sz w:val="18"/>
      <w:szCs w:val="18"/>
    </w:rPr>
  </w:style>
  <w:style w:type="character" w:customStyle="1" w:styleId="9">
    <w:name w:val="页脚 Char"/>
    <w:qFormat/>
    <w:uiPriority w:val="0"/>
    <w:rPr>
      <w:rFonts w:ascii="Times New Roman" w:hAnsi="Times New Roman" w:eastAsia="宋体" w:cs="Times New Roman"/>
      <w:kern w:val="2"/>
      <w:sz w:val="18"/>
      <w:szCs w:val="18"/>
    </w:rPr>
  </w:style>
  <w:style w:type="paragraph" w:customStyle="1" w:styleId="10">
    <w:name w:val="列出段落1"/>
    <w:basedOn w:val="1"/>
    <w:qFormat/>
    <w:uiPriority w:val="0"/>
    <w:pPr>
      <w:ind w:firstLine="20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Legend (Beijing) Limited</Company>
  <Pages>2</Pages>
  <Words>882</Words>
  <Characters>1467</Characters>
  <Lines>100</Lines>
  <Paragraphs>87</Paragraphs>
  <TotalTime>0</TotalTime>
  <ScaleCrop>false</ScaleCrop>
  <LinksUpToDate>false</LinksUpToDate>
  <CharactersWithSpaces>1547</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Lin</cp:lastModifiedBy>
  <cp:lastPrinted>2021-03-25T02:04:00Z</cp:lastPrinted>
  <dcterms:modified xsi:type="dcterms:W3CDTF">2022-09-01T05:50:52Z</dcterms:modified>
  <dc:title>××产品质量监督抽查实施细则</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B410DE0FD54E438AB50C0284D0C1CBDA</vt:lpwstr>
  </property>
</Properties>
</file>