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color w:val="333333"/>
          <w:sz w:val="45"/>
          <w:szCs w:val="4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45"/>
          <w:szCs w:val="45"/>
          <w:shd w:val="clear" w:color="auto" w:fill="FFFFFF"/>
        </w:rPr>
        <w:t>重庆市市场监督管理局关于发布《重庆市产品质量监督抽查 实施细则（2022年第四批）》的公告</w:t>
      </w:r>
    </w:p>
    <w:p>
      <w:pPr>
        <w:jc w:val="center"/>
        <w:rPr>
          <w:rFonts w:hint="eastAsia" w:ascii="微软雅黑" w:hAnsi="微软雅黑" w:eastAsia="微软雅黑"/>
          <w:color w:val="333333"/>
          <w:sz w:val="45"/>
          <w:szCs w:val="45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80" w:afterAutospacing="0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重庆市市场监管局将实施2022年第四批市级产品质量监督抽查，计划抽查工业高锰酸钾、溶解乙炔、儿童运动头盔、儿童青少年防近视学习用品（课业簿册）等产品。根据《中华人民共和国产品质量法》、《产品质量监督抽查管理暂行办法》（国家市场监督管理总局第18号令）等法律法规规定，现将相关产品监督抽查实施细则予以公开。</w:t>
      </w:r>
    </w:p>
    <w:p>
      <w:pPr>
        <w:pStyle w:val="4"/>
        <w:shd w:val="clear" w:color="auto" w:fill="FFFFFF"/>
        <w:spacing w:before="0" w:beforeAutospacing="0" w:after="180" w:afterAutospacing="0"/>
        <w:ind w:firstLine="480"/>
        <w:rPr>
          <w:rFonts w:hint="eastAsia" w:ascii="微软雅黑" w:hAnsi="微软雅黑" w:eastAsia="微软雅黑"/>
          <w:color w:val="333333"/>
        </w:rPr>
      </w:pP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</w:p>
    <w:p>
      <w:pPr>
        <w:pStyle w:val="4"/>
        <w:shd w:val="clear" w:color="auto" w:fill="FFFFFF"/>
        <w:spacing w:before="0" w:beforeAutospacing="0" w:after="180" w:afterAutospacing="0"/>
        <w:ind w:firstLine="480"/>
        <w:rPr>
          <w:rFonts w:hint="eastAsia" w:ascii="微软雅黑" w:hAnsi="微软雅黑" w:eastAsia="微软雅黑"/>
          <w:color w:val="333333"/>
        </w:rPr>
      </w:pPr>
      <w:r>
        <w:rPr>
          <w:rFonts w:hint="eastAsia"/>
          <w:color w:val="333333"/>
        </w:rPr>
        <w:t>附件：产品质量监督抽查实施细则（2022年第四批）</w:t>
      </w:r>
    </w:p>
    <w:p>
      <w:pPr>
        <w:pStyle w:val="4"/>
        <w:shd w:val="clear" w:color="auto" w:fill="FFFFFF"/>
        <w:spacing w:before="0" w:beforeAutospacing="0" w:after="180" w:afterAutospacing="0"/>
        <w:ind w:firstLine="480"/>
        <w:rPr>
          <w:rFonts w:hint="eastAsia" w:ascii="微软雅黑" w:hAnsi="微软雅黑" w:eastAsia="微软雅黑"/>
          <w:color w:val="333333"/>
        </w:rPr>
      </w:pPr>
      <w:r>
        <w:rPr>
          <w:rFonts w:hint="eastAsia" w:ascii="MS Mincho" w:hAnsi="MS Mincho" w:eastAsia="MS Mincho" w:cs="MS Mincho"/>
          <w:color w:val="333333"/>
        </w:rPr>
        <w:t> </w:t>
      </w:r>
    </w:p>
    <w:p>
      <w:pPr>
        <w:pStyle w:val="4"/>
        <w:shd w:val="clear" w:color="auto" w:fill="FFFFFF"/>
        <w:spacing w:before="0" w:beforeAutospacing="0" w:after="180" w:afterAutospacing="0"/>
        <w:ind w:firstLine="480"/>
        <w:rPr>
          <w:rFonts w:hint="eastAsia" w:ascii="微软雅黑" w:hAnsi="微软雅黑" w:eastAsia="微软雅黑"/>
          <w:color w:val="333333"/>
        </w:rPr>
      </w:pP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/>
          <w:color w:val="333333"/>
        </w:rPr>
        <w:t xml:space="preserve"> </w:t>
      </w:r>
      <w:r>
        <w:rPr>
          <w:rFonts w:hint="eastAsia" w:ascii="MS Mincho" w:hAnsi="MS Mincho" w:eastAsia="MS Mincho" w:cs="MS Mincho"/>
          <w:color w:val="333333"/>
        </w:rPr>
        <w:t> </w:t>
      </w:r>
    </w:p>
    <w:p>
      <w:pPr>
        <w:pStyle w:val="4"/>
        <w:shd w:val="clear" w:color="auto" w:fill="FFFFFF"/>
        <w:spacing w:before="0" w:beforeAutospacing="0" w:after="180" w:afterAutospacing="0"/>
        <w:ind w:firstLine="480"/>
        <w:jc w:val="right"/>
        <w:rPr>
          <w:rFonts w:hint="eastAsia" w:ascii="微软雅黑" w:hAnsi="微软雅黑" w:eastAsia="微软雅黑"/>
          <w:color w:val="333333"/>
        </w:rPr>
      </w:pPr>
      <w:r>
        <w:rPr>
          <w:rFonts w:hint="eastAsia" w:ascii="MS Mincho" w:hAnsi="MS Mincho" w:eastAsia="MS Mincho" w:cs="MS Mincho"/>
          <w:color w:val="333333"/>
        </w:rPr>
        <w:t>    </w:t>
      </w:r>
      <w:r>
        <w:rPr>
          <w:rFonts w:hint="eastAsia" w:ascii="MS Mincho" w:hAnsi="MS Mincho" w:eastAsia="MS Mincho" w:cs="MS Mincho"/>
          <w:color w:val="333333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333333"/>
        </w:rPr>
        <w:t>重庆市市场监督管理局</w:t>
      </w:r>
      <w:r>
        <w:rPr>
          <w:rFonts w:hint="eastAsia" w:ascii="MS Mincho" w:hAnsi="MS Mincho" w:eastAsia="MS Mincho" w:cs="MS Mincho"/>
          <w:color w:val="333333"/>
        </w:rPr>
        <w:t>    </w:t>
      </w:r>
    </w:p>
    <w:p>
      <w:pPr>
        <w:pStyle w:val="4"/>
        <w:shd w:val="clear" w:color="auto" w:fill="FFFFFF"/>
        <w:spacing w:before="0" w:beforeAutospacing="0" w:after="180" w:afterAutospacing="0"/>
        <w:jc w:val="right"/>
        <w:rPr>
          <w:rFonts w:hint="eastAsia" w:ascii="微软雅黑" w:hAnsi="微软雅黑" w:eastAsia="微软雅黑"/>
          <w:color w:val="333333"/>
        </w:rPr>
      </w:pPr>
      <w:r>
        <w:rPr>
          <w:rFonts w:hint="eastAsia" w:ascii="MS Mincho" w:hAnsi="MS Mincho" w:eastAsia="MS Mincho" w:cs="MS Mincho"/>
          <w:color w:val="333333"/>
        </w:rPr>
        <w:t> </w:t>
      </w:r>
      <w:r>
        <w:rPr>
          <w:rFonts w:hint="eastAsia" w:ascii="MS Mincho" w:hAnsi="MS Mincho" w:eastAsia="MS Mincho" w:cs="MS Mincho"/>
          <w:color w:val="333333"/>
          <w:lang w:val="en-US" w:eastAsia="zh-CN"/>
        </w:rPr>
        <w:t xml:space="preserve">     </w:t>
      </w:r>
      <w:r>
        <w:rPr>
          <w:rFonts w:hint="eastAsia"/>
          <w:color w:val="333333"/>
        </w:rPr>
        <w:t>2022年8月8日</w:t>
      </w:r>
      <w:r>
        <w:rPr>
          <w:rFonts w:hint="eastAsia" w:ascii="MS Mincho" w:hAnsi="MS Mincho" w:eastAsia="MS Mincho" w:cs="MS Mincho"/>
          <w:color w:val="333333"/>
        </w:rPr>
        <w:t>    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     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EDE"/>
    <w:rsid w:val="00EB5EDE"/>
    <w:rsid w:val="777EC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2022-08-10T09:05:00Z</dcterms:created>
  <dc:creator>零星</dc:creator>
  <cp:lastModifiedBy>scjgj</cp:lastModifiedBy>
  <dcterms:modified xsi:type="dcterms:W3CDTF">2022-08-11T09:31:12Z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