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小标宋简体" w:hAnsi="仿宋" w:eastAsia="方正小标宋简体" w:cs="方正仿宋简体"/>
          <w:sz w:val="32"/>
          <w:szCs w:val="32"/>
          <w:lang w:val="en-US" w:eastAsia="zh-CN"/>
        </w:rPr>
        <w:t>2022年</w:t>
      </w:r>
      <w:r>
        <w:rPr>
          <w:rFonts w:hint="eastAsia" w:ascii="方正小标宋简体" w:hAnsi="仿宋" w:eastAsia="方正小标宋简体" w:cs="方正仿宋简体"/>
          <w:sz w:val="32"/>
          <w:szCs w:val="32"/>
        </w:rPr>
        <w:t>川渝</w:t>
      </w:r>
      <w:r>
        <w:rPr>
          <w:rFonts w:hint="eastAsia" w:ascii="方正小标宋简体" w:hAnsi="仿宋" w:eastAsia="方正小标宋简体" w:cs="方正仿宋简体"/>
          <w:sz w:val="32"/>
          <w:szCs w:val="32"/>
          <w:lang w:val="en-US" w:eastAsia="zh-CN"/>
        </w:rPr>
        <w:t>两地</w:t>
      </w:r>
      <w:r>
        <w:rPr>
          <w:rFonts w:hint="eastAsia" w:ascii="方正小标宋简体" w:hAnsi="仿宋" w:eastAsia="方正小标宋简体" w:cs="方正仿宋简体"/>
          <w:color w:val="000000"/>
          <w:sz w:val="32"/>
          <w:szCs w:val="32"/>
        </w:rPr>
        <w:t>塑料绝缘控制电缆产品质量</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lang w:val="en-US" w:eastAsia="zh-CN"/>
        </w:rPr>
        <w:t>联动</w:t>
      </w:r>
      <w:r>
        <w:rPr>
          <w:rFonts w:hint="eastAsia" w:ascii="方正小标宋简体" w:hAnsi="仿宋" w:eastAsia="方正小标宋简体" w:cs="方正仿宋简体"/>
          <w:color w:val="000000"/>
          <w:sz w:val="32"/>
          <w:szCs w:val="32"/>
        </w:rPr>
        <w:t>监督抽查实施细则</w:t>
      </w:r>
    </w:p>
    <w:p>
      <w:pPr>
        <w:snapToGrid w:val="0"/>
        <w:spacing w:line="360" w:lineRule="auto"/>
        <w:jc w:val="center"/>
        <w:rPr>
          <w:rFonts w:ascii="方正小标宋简体" w:hAnsi="仿宋" w:eastAsia="方正小标宋简体" w:cs="方正仿宋简体"/>
          <w:color w:val="000000"/>
          <w:sz w:val="32"/>
          <w:szCs w:val="32"/>
        </w:rPr>
      </w:pPr>
    </w:p>
    <w:p>
      <w:pPr>
        <w:snapToGrid w:val="0"/>
        <w:spacing w:line="440" w:lineRule="exact"/>
        <w:rPr>
          <w:rFonts w:ascii="黑体" w:hAnsi="宋体" w:eastAsia="黑体"/>
          <w:color w:val="000000"/>
        </w:rPr>
      </w:pPr>
      <w:r>
        <w:rPr>
          <w:rFonts w:hint="eastAsia" w:ascii="黑体" w:hAnsi="宋体" w:eastAsia="黑体"/>
          <w:color w:val="000000"/>
        </w:rPr>
        <w:t xml:space="preserve">1 </w:t>
      </w:r>
      <w:r>
        <w:rPr>
          <w:rFonts w:hint="eastAsia" w:ascii="黑体" w:hAnsi="宋体" w:eastAsia="黑体"/>
          <w:color w:val="000000"/>
          <w:lang w:val="en-US" w:eastAsia="zh-CN"/>
        </w:rPr>
        <w:t xml:space="preserve"> </w:t>
      </w:r>
      <w:r>
        <w:rPr>
          <w:rFonts w:hint="eastAsia" w:ascii="黑体" w:hAnsi="宋体" w:eastAsia="黑体"/>
          <w:color w:val="000000"/>
        </w:rPr>
        <w:t>抽样方法</w:t>
      </w:r>
    </w:p>
    <w:p>
      <w:pPr>
        <w:snapToGrid w:val="0"/>
        <w:spacing w:line="440" w:lineRule="exact"/>
        <w:ind w:firstLine="420" w:firstLineChars="200"/>
        <w:rPr>
          <w:rFonts w:ascii="宋体" w:hAnsi="宋体"/>
        </w:rPr>
      </w:pPr>
      <w:r>
        <w:rPr>
          <w:rFonts w:hint="eastAsia" w:ascii="宋体" w:hAnsi="宋体"/>
        </w:rPr>
        <w:t>在生产者、销售者的待销产品中随机抽取有产品质量检验合格证明或者以其他形式表明合格的、近期生产的产品。</w:t>
      </w:r>
    </w:p>
    <w:p>
      <w:pPr>
        <w:snapToGrid w:val="0"/>
        <w:spacing w:line="440" w:lineRule="exact"/>
        <w:ind w:firstLine="420" w:firstLineChars="200"/>
        <w:rPr>
          <w:rFonts w:ascii="宋体" w:hAnsi="宋体"/>
          <w:color w:val="000000"/>
        </w:rPr>
      </w:pPr>
      <w:r>
        <w:rPr>
          <w:rFonts w:hint="eastAsia" w:ascii="宋体" w:hAnsi="宋体"/>
          <w:color w:val="000000"/>
        </w:rPr>
        <w:t>抽查样品基数满足抽样数量即可。</w:t>
      </w:r>
    </w:p>
    <w:p>
      <w:pPr>
        <w:snapToGrid w:val="0"/>
        <w:spacing w:line="440" w:lineRule="exact"/>
        <w:ind w:firstLine="420" w:firstLineChars="200"/>
        <w:rPr>
          <w:rFonts w:ascii="宋体" w:hAnsi="宋体"/>
        </w:rPr>
      </w:pPr>
      <w:r>
        <w:rPr>
          <w:rFonts w:ascii="Times New Roman" w:hAnsi="Times New Roman"/>
          <w:color w:val="000000"/>
        </w:rPr>
        <w:t>非阻燃</w:t>
      </w:r>
      <w:r>
        <w:rPr>
          <w:rFonts w:hint="eastAsia" w:ascii="Times New Roman" w:hAnsi="Times New Roman"/>
          <w:color w:val="000000"/>
        </w:rPr>
        <w:t>塑料绝缘控制电缆</w:t>
      </w:r>
      <w:r>
        <w:rPr>
          <w:rFonts w:ascii="Times New Roman" w:hAnsi="Times New Roman"/>
          <w:color w:val="000000"/>
        </w:rPr>
        <w:t>：</w:t>
      </w:r>
      <w:r>
        <w:rPr>
          <w:rFonts w:hint="eastAsia" w:ascii="宋体" w:hAnsi="宋体"/>
        </w:rPr>
        <w:t>同一生产者按照同一标准生产的同一商标、同一规格型号的产品抽取样品，应从同一根电缆上至少截取</w:t>
      </w:r>
      <w:r>
        <w:rPr>
          <w:rFonts w:ascii="宋体" w:hAnsi="宋体"/>
        </w:rPr>
        <w:t>40</w:t>
      </w:r>
      <w:r>
        <w:rPr>
          <w:rFonts w:hint="eastAsia" w:ascii="宋体" w:hAnsi="宋体"/>
        </w:rPr>
        <w:t>米，其中</w:t>
      </w:r>
      <w:r>
        <w:rPr>
          <w:rFonts w:ascii="宋体" w:hAnsi="宋体"/>
        </w:rPr>
        <w:t>20</w:t>
      </w:r>
      <w:r>
        <w:rPr>
          <w:rFonts w:hint="eastAsia" w:ascii="宋体" w:hAnsi="宋体"/>
        </w:rPr>
        <w:t>米为检验样品，其余作为备用样品。</w:t>
      </w:r>
      <w:r>
        <w:rPr>
          <w:rFonts w:hint="eastAsia" w:ascii="宋体" w:hAnsi="宋体"/>
          <w:szCs w:val="21"/>
        </w:rPr>
        <w:t>备用样品封存于受检单位。</w:t>
      </w:r>
    </w:p>
    <w:p>
      <w:pPr>
        <w:snapToGrid w:val="0"/>
        <w:spacing w:line="440" w:lineRule="exact"/>
        <w:ind w:firstLine="420" w:firstLineChars="200"/>
        <w:rPr>
          <w:rFonts w:ascii="Times New Roman" w:hAnsi="Times New Roman"/>
          <w:color w:val="000000"/>
        </w:rPr>
      </w:pPr>
      <w:r>
        <w:rPr>
          <w:rFonts w:ascii="Times New Roman" w:hAnsi="Times New Roman"/>
          <w:color w:val="000000"/>
        </w:rPr>
        <w:t>阻燃</w:t>
      </w:r>
      <w:r>
        <w:rPr>
          <w:rFonts w:hint="eastAsia" w:ascii="Times New Roman" w:hAnsi="Times New Roman"/>
          <w:color w:val="000000"/>
        </w:rPr>
        <w:t>塑料绝缘控制电缆</w:t>
      </w:r>
      <w:r>
        <w:rPr>
          <w:rFonts w:ascii="Times New Roman" w:hAnsi="Times New Roman"/>
          <w:color w:val="000000"/>
        </w:rPr>
        <w:t>：</w:t>
      </w:r>
      <w:r>
        <w:rPr>
          <w:rFonts w:hint="eastAsia" w:ascii="宋体" w:hAnsi="宋体"/>
        </w:rPr>
        <w:t>同一生产者按照同一标准生产的同一商标、同一规格型号的产品抽取样品，应从同一批电缆上至少截取</w:t>
      </w:r>
      <w:r>
        <w:rPr>
          <w:rFonts w:ascii="Times New Roman" w:hAnsi="Times New Roman"/>
        </w:rPr>
        <w:t>（40+4X）</w:t>
      </w:r>
      <w:r>
        <w:rPr>
          <w:rFonts w:hint="eastAsia" w:ascii="宋体" w:hAnsi="宋体"/>
        </w:rPr>
        <w:t>米，其中</w:t>
      </w:r>
      <w:r>
        <w:rPr>
          <w:rFonts w:ascii="Times New Roman" w:hAnsi="Times New Roman"/>
        </w:rPr>
        <w:t>（20+1.5X）</w:t>
      </w:r>
      <w:r>
        <w:rPr>
          <w:rFonts w:hint="eastAsia" w:ascii="宋体" w:hAnsi="宋体"/>
        </w:rPr>
        <w:t>米为检验样品，</w:t>
      </w:r>
      <w:r>
        <w:rPr>
          <w:rFonts w:ascii="Times New Roman" w:hAnsi="Times New Roman"/>
        </w:rPr>
        <w:t>（20+2.5X）</w:t>
      </w:r>
      <w:r>
        <w:rPr>
          <w:rFonts w:hint="eastAsia" w:ascii="宋体" w:hAnsi="宋体"/>
        </w:rPr>
        <w:t>作为备用样品。</w:t>
      </w:r>
      <w:r>
        <w:rPr>
          <w:rFonts w:ascii="Times New Roman" w:hAnsi="Times New Roman"/>
        </w:rPr>
        <w:t>X为成束燃烧试验所需样品长度，根据GB/T 18380.33-2008、GB/T 18380.34-2008、GB/T 18380.35-2008和GB/T 18380.36-2008标准中的简易计算方法进行计算</w:t>
      </w:r>
      <w:r>
        <w:rPr>
          <w:rFonts w:ascii="Times New Roman" w:hAnsi="Times New Roman"/>
          <w:color w:val="000000"/>
        </w:rPr>
        <w:t>，</w:t>
      </w:r>
      <w:r>
        <w:rPr>
          <w:rFonts w:ascii="Times New Roman" w:hAnsi="Times New Roman"/>
        </w:rPr>
        <w:t>计算公式如下：</w:t>
      </w:r>
    </w:p>
    <w:p>
      <w:pPr>
        <w:spacing w:line="360" w:lineRule="auto"/>
        <w:ind w:firstLine="420" w:firstLineChars="200"/>
        <w:rPr>
          <w:rFonts w:ascii="Times New Roman" w:hAnsi="Times New Roman"/>
        </w:rPr>
      </w:pPr>
      <w:r>
        <w:rPr>
          <w:rFonts w:ascii="Times New Roman" w:hAnsi="Times New Roman"/>
        </w:rPr>
        <w:t>A类阻燃：X=[7000/(3.14×D</w:t>
      </w:r>
      <w:r>
        <w:rPr>
          <w:rFonts w:ascii="Times New Roman" w:hAnsi="Times New Roman"/>
          <w:vertAlign w:val="superscript"/>
        </w:rPr>
        <w:t>2</w:t>
      </w:r>
      <w:r>
        <w:rPr>
          <w:rFonts w:ascii="Times New Roman" w:hAnsi="Times New Roman"/>
        </w:rPr>
        <w:t>/4</w:t>
      </w:r>
      <w:r>
        <w:t>-</w:t>
      </w:r>
      <w:r>
        <w:rPr>
          <w:rFonts w:hint="eastAsia"/>
        </w:rPr>
        <w:t>S</w:t>
      </w:r>
      <w:r>
        <w:rPr>
          <w:rFonts w:ascii="Times New Roman" w:hAnsi="Times New Roman"/>
        </w:rPr>
        <w:t>)] 取整×3.5米</w:t>
      </w:r>
    </w:p>
    <w:p>
      <w:pPr>
        <w:spacing w:line="360" w:lineRule="auto"/>
        <w:ind w:firstLine="420" w:firstLineChars="200"/>
        <w:rPr>
          <w:rFonts w:ascii="Times New Roman" w:hAnsi="Times New Roman"/>
        </w:rPr>
      </w:pPr>
      <w:r>
        <w:rPr>
          <w:rFonts w:ascii="Times New Roman" w:hAnsi="Times New Roman"/>
        </w:rPr>
        <w:t>B类阻燃：X=[3500/(3.14×D</w:t>
      </w:r>
      <w:r>
        <w:rPr>
          <w:rFonts w:ascii="Times New Roman" w:hAnsi="Times New Roman"/>
          <w:vertAlign w:val="superscript"/>
        </w:rPr>
        <w:t>2</w:t>
      </w:r>
      <w:r>
        <w:rPr>
          <w:rFonts w:ascii="Times New Roman" w:hAnsi="Times New Roman"/>
        </w:rPr>
        <w:t>/4-</w:t>
      </w:r>
      <w:r>
        <w:rPr>
          <w:rFonts w:hint="eastAsia"/>
        </w:rPr>
        <w:t>S</w:t>
      </w:r>
      <w:r>
        <w:rPr>
          <w:rFonts w:ascii="Times New Roman" w:hAnsi="Times New Roman"/>
        </w:rPr>
        <w:t>)] 取整×3.5米</w:t>
      </w:r>
    </w:p>
    <w:p>
      <w:pPr>
        <w:spacing w:line="360" w:lineRule="auto"/>
        <w:ind w:firstLine="420" w:firstLineChars="200"/>
        <w:rPr>
          <w:rFonts w:ascii="Times New Roman" w:hAnsi="Times New Roman"/>
        </w:rPr>
      </w:pPr>
      <w:r>
        <w:rPr>
          <w:rFonts w:ascii="Times New Roman" w:hAnsi="Times New Roman"/>
        </w:rPr>
        <w:t>C类阻燃：X=[1500/(3.14×D</w:t>
      </w:r>
      <w:r>
        <w:rPr>
          <w:rFonts w:ascii="Times New Roman" w:hAnsi="Times New Roman"/>
          <w:vertAlign w:val="superscript"/>
        </w:rPr>
        <w:t>2</w:t>
      </w:r>
      <w:r>
        <w:rPr>
          <w:rFonts w:ascii="Times New Roman" w:hAnsi="Times New Roman"/>
        </w:rPr>
        <w:t>/4-</w:t>
      </w:r>
      <w:r>
        <w:rPr>
          <w:rFonts w:hint="eastAsia"/>
        </w:rPr>
        <w:t>S</w:t>
      </w:r>
      <w:r>
        <w:rPr>
          <w:rFonts w:ascii="Times New Roman" w:hAnsi="Times New Roman"/>
        </w:rPr>
        <w:t>)] 取整×3.5米</w:t>
      </w:r>
    </w:p>
    <w:p>
      <w:pPr>
        <w:spacing w:line="360" w:lineRule="auto"/>
        <w:ind w:firstLine="420" w:firstLineChars="200"/>
        <w:rPr>
          <w:rFonts w:ascii="Times New Roman" w:hAnsi="Times New Roman"/>
        </w:rPr>
      </w:pPr>
      <w:r>
        <w:rPr>
          <w:rFonts w:ascii="Times New Roman" w:hAnsi="Times New Roman"/>
        </w:rPr>
        <w:t>D类阻燃：X=[500/(3.14×D</w:t>
      </w:r>
      <w:r>
        <w:rPr>
          <w:rFonts w:ascii="Times New Roman" w:hAnsi="Times New Roman"/>
          <w:vertAlign w:val="superscript"/>
        </w:rPr>
        <w:t>2</w:t>
      </w:r>
      <w:r>
        <w:rPr>
          <w:rFonts w:ascii="Times New Roman" w:hAnsi="Times New Roman"/>
        </w:rPr>
        <w:t>/4-</w:t>
      </w:r>
      <w:r>
        <w:rPr>
          <w:rFonts w:hint="eastAsia"/>
        </w:rPr>
        <w:t>S</w:t>
      </w:r>
      <w:r>
        <w:rPr>
          <w:rFonts w:ascii="Times New Roman" w:hAnsi="Times New Roman"/>
        </w:rPr>
        <w:t>)] 取整×3.5米</w:t>
      </w:r>
    </w:p>
    <w:p>
      <w:pPr>
        <w:spacing w:line="360" w:lineRule="auto"/>
        <w:ind w:firstLine="420" w:firstLineChars="200"/>
        <w:rPr>
          <w:rFonts w:ascii="Times New Roman" w:hAnsi="Times New Roman"/>
        </w:rPr>
      </w:pPr>
      <w:r>
        <w:rPr>
          <w:rFonts w:ascii="Times New Roman" w:hAnsi="Times New Roman"/>
        </w:rPr>
        <w:t>以上计算公式中，D为电缆成品外径，单位mm；</w:t>
      </w:r>
      <w:r>
        <w:rPr>
          <w:rFonts w:hint="eastAsia"/>
        </w:rPr>
        <w:t>S</w:t>
      </w:r>
      <w:r>
        <w:rPr>
          <w:rFonts w:ascii="Times New Roman" w:hAnsi="Times New Roman"/>
        </w:rPr>
        <w:t>为所有金属材料的截面积，单位mm</w:t>
      </w:r>
      <w:r>
        <w:rPr>
          <w:rFonts w:ascii="Times New Roman" w:hAnsi="Times New Roman"/>
          <w:vertAlign w:val="superscript"/>
        </w:rPr>
        <w:t>2</w:t>
      </w:r>
      <w:r>
        <w:rPr>
          <w:rFonts w:ascii="Times New Roman" w:hAnsi="Times New Roman"/>
        </w:rPr>
        <w:t>。</w:t>
      </w:r>
    </w:p>
    <w:p>
      <w:pPr>
        <w:snapToGrid w:val="0"/>
        <w:spacing w:line="440" w:lineRule="exact"/>
        <w:ind w:firstLine="420" w:firstLineChars="200"/>
        <w:rPr>
          <w:rFonts w:ascii="宋体" w:hAnsi="宋体"/>
          <w:color w:val="000000"/>
        </w:rPr>
      </w:pPr>
      <w:r>
        <w:rPr>
          <w:rFonts w:hint="eastAsia" w:ascii="宋体" w:hAnsi="宋体"/>
          <w:color w:val="000000"/>
        </w:rPr>
        <w:t>随机数抽样，随机数一般可使用随机数表、随机数骰子或扑克牌等方法产生。</w:t>
      </w:r>
    </w:p>
    <w:p>
      <w:pPr>
        <w:snapToGrid w:val="0"/>
        <w:spacing w:line="440" w:lineRule="exact"/>
        <w:ind w:firstLine="420" w:firstLineChars="200"/>
        <w:rPr>
          <w:rFonts w:ascii="宋体" w:hAnsi="宋体"/>
          <w:color w:val="000000"/>
        </w:rPr>
      </w:pPr>
    </w:p>
    <w:p>
      <w:pPr>
        <w:snapToGrid w:val="0"/>
        <w:spacing w:line="440" w:lineRule="exact"/>
        <w:rPr>
          <w:rFonts w:ascii="黑体" w:hAnsi="宋体" w:eastAsia="黑体"/>
          <w:color w:val="000000"/>
        </w:rPr>
      </w:pPr>
      <w:r>
        <w:rPr>
          <w:rFonts w:hint="eastAsia" w:ascii="黑体" w:hAnsi="宋体" w:eastAsia="黑体"/>
          <w:color w:val="000000"/>
        </w:rPr>
        <w:t xml:space="preserve">2 </w:t>
      </w:r>
      <w:r>
        <w:rPr>
          <w:rFonts w:hint="eastAsia" w:ascii="黑体" w:hAnsi="宋体" w:eastAsia="黑体"/>
          <w:color w:val="000000"/>
          <w:lang w:val="en-US" w:eastAsia="zh-CN"/>
        </w:rPr>
        <w:t xml:space="preserve"> </w:t>
      </w:r>
      <w:r>
        <w:rPr>
          <w:rFonts w:hint="eastAsia" w:ascii="黑体" w:hAnsi="宋体" w:eastAsia="黑体"/>
          <w:color w:val="000000"/>
        </w:rPr>
        <w:t>检验依据</w:t>
      </w:r>
    </w:p>
    <w:p>
      <w:pPr>
        <w:snapToGrid w:val="0"/>
        <w:spacing w:line="440" w:lineRule="exact"/>
        <w:jc w:val="center"/>
        <w:rPr>
          <w:rFonts w:hint="eastAsia" w:ascii="黑体" w:hAnsi="黑体" w:eastAsia="黑体" w:cs="黑体"/>
          <w:color w:val="000000"/>
        </w:rPr>
      </w:pPr>
      <w:r>
        <w:rPr>
          <w:rFonts w:hint="eastAsia" w:ascii="黑体" w:hAnsi="黑体" w:eastAsia="黑体" w:cs="黑体"/>
          <w:color w:val="000000"/>
        </w:rPr>
        <w:t>表1  检验项目</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黑体" w:hAnsi="黑体" w:eastAsia="黑体" w:cs="黑体"/>
                <w:color w:val="000000"/>
              </w:rPr>
            </w:pPr>
            <w:r>
              <w:rPr>
                <w:rFonts w:hint="eastAsia" w:ascii="黑体" w:hAnsi="黑体" w:eastAsia="黑体" w:cs="黑体"/>
                <w:color w:val="000000"/>
              </w:rPr>
              <w:t>序号</w:t>
            </w:r>
          </w:p>
        </w:tc>
        <w:tc>
          <w:tcPr>
            <w:tcW w:w="2693" w:type="dxa"/>
          </w:tcPr>
          <w:p>
            <w:pPr>
              <w:snapToGrid w:val="0"/>
              <w:spacing w:line="440" w:lineRule="exact"/>
              <w:jc w:val="center"/>
              <w:rPr>
                <w:rFonts w:hint="eastAsia" w:ascii="黑体" w:hAnsi="黑体" w:eastAsia="黑体" w:cs="黑体"/>
                <w:color w:val="000000"/>
              </w:rPr>
            </w:pPr>
            <w:r>
              <w:rPr>
                <w:rFonts w:hint="eastAsia" w:ascii="黑体" w:hAnsi="黑体" w:eastAsia="黑体" w:cs="黑体"/>
                <w:color w:val="000000"/>
              </w:rPr>
              <w:t>检验项目</w:t>
            </w:r>
          </w:p>
        </w:tc>
        <w:tc>
          <w:tcPr>
            <w:tcW w:w="2835" w:type="dxa"/>
          </w:tcPr>
          <w:p>
            <w:pPr>
              <w:snapToGrid w:val="0"/>
              <w:spacing w:line="440" w:lineRule="exact"/>
              <w:jc w:val="center"/>
              <w:rPr>
                <w:rFonts w:hint="eastAsia" w:ascii="黑体" w:hAnsi="黑体" w:eastAsia="黑体" w:cs="黑体"/>
                <w:color w:val="000000"/>
              </w:rPr>
            </w:pPr>
            <w:r>
              <w:rPr>
                <w:rFonts w:hint="eastAsia" w:ascii="黑体" w:hAnsi="黑体" w:eastAsia="黑体" w:cs="黑体"/>
                <w:color w:val="000000"/>
              </w:rPr>
              <w:t>判定依据</w:t>
            </w:r>
          </w:p>
        </w:tc>
        <w:tc>
          <w:tcPr>
            <w:tcW w:w="2828" w:type="dxa"/>
          </w:tcPr>
          <w:p>
            <w:pPr>
              <w:snapToGrid w:val="0"/>
              <w:spacing w:line="440" w:lineRule="exact"/>
              <w:jc w:val="center"/>
              <w:rPr>
                <w:rFonts w:hint="eastAsia" w:ascii="黑体" w:hAnsi="黑体" w:eastAsia="黑体" w:cs="黑体"/>
                <w:color w:val="000000"/>
              </w:rPr>
            </w:pPr>
            <w:r>
              <w:rPr>
                <w:rFonts w:hint="eastAsia" w:ascii="黑体" w:hAnsi="黑体" w:eastAsia="黑体" w:cs="黑体"/>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w:t>
            </w:r>
          </w:p>
        </w:tc>
        <w:tc>
          <w:tcPr>
            <w:tcW w:w="2693" w:type="dxa"/>
          </w:tcPr>
          <w:p>
            <w:pPr>
              <w:snapToGrid w:val="0"/>
              <w:spacing w:line="440" w:lineRule="exact"/>
              <w:jc w:val="center"/>
              <w:rPr>
                <w:rFonts w:ascii="宋体" w:hAnsi="宋体"/>
                <w:color w:val="000000"/>
              </w:rPr>
            </w:pPr>
            <w:r>
              <w:rPr>
                <w:rFonts w:hint="eastAsia" w:ascii="宋体" w:hAnsi="宋体"/>
                <w:color w:val="000000"/>
              </w:rPr>
              <w:t>绝缘平均厚度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2</w:t>
            </w:r>
          </w:p>
        </w:tc>
        <w:tc>
          <w:tcPr>
            <w:tcW w:w="2693" w:type="dxa"/>
          </w:tcPr>
          <w:p>
            <w:pPr>
              <w:snapToGrid w:val="0"/>
              <w:spacing w:line="440" w:lineRule="exact"/>
              <w:jc w:val="center"/>
              <w:rPr>
                <w:rFonts w:ascii="宋体" w:hAnsi="宋体"/>
                <w:color w:val="000000"/>
              </w:rPr>
            </w:pPr>
            <w:r>
              <w:rPr>
                <w:rFonts w:hint="eastAsia" w:ascii="宋体" w:hAnsi="宋体"/>
                <w:color w:val="000000"/>
              </w:rPr>
              <w:t>绝缘最薄处厚度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3</w:t>
            </w:r>
          </w:p>
        </w:tc>
        <w:tc>
          <w:tcPr>
            <w:tcW w:w="2693" w:type="dxa"/>
          </w:tcPr>
          <w:p>
            <w:pPr>
              <w:snapToGrid w:val="0"/>
              <w:spacing w:line="440" w:lineRule="exact"/>
              <w:jc w:val="center"/>
              <w:rPr>
                <w:rFonts w:ascii="宋体" w:hAnsi="宋体"/>
                <w:color w:val="000000"/>
              </w:rPr>
            </w:pPr>
            <w:r>
              <w:rPr>
                <w:rFonts w:hint="eastAsia" w:ascii="宋体" w:hAnsi="宋体"/>
                <w:color w:val="000000"/>
              </w:rPr>
              <w:t>护套平均厚度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4</w:t>
            </w:r>
          </w:p>
        </w:tc>
        <w:tc>
          <w:tcPr>
            <w:tcW w:w="2693" w:type="dxa"/>
          </w:tcPr>
          <w:p>
            <w:pPr>
              <w:snapToGrid w:val="0"/>
              <w:spacing w:line="440" w:lineRule="exact"/>
              <w:jc w:val="center"/>
              <w:rPr>
                <w:rFonts w:ascii="宋体" w:hAnsi="宋体"/>
                <w:color w:val="000000"/>
              </w:rPr>
            </w:pPr>
            <w:r>
              <w:rPr>
                <w:rFonts w:hint="eastAsia" w:ascii="宋体" w:hAnsi="宋体"/>
                <w:color w:val="000000"/>
              </w:rPr>
              <w:t>护套最薄处厚度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5</w:t>
            </w:r>
          </w:p>
        </w:tc>
        <w:tc>
          <w:tcPr>
            <w:tcW w:w="2693" w:type="dxa"/>
          </w:tcPr>
          <w:p>
            <w:pPr>
              <w:snapToGrid w:val="0"/>
              <w:spacing w:line="440" w:lineRule="exact"/>
              <w:jc w:val="center"/>
              <w:rPr>
                <w:rFonts w:ascii="宋体" w:hAnsi="宋体"/>
                <w:color w:val="000000"/>
              </w:rPr>
            </w:pPr>
            <w:r>
              <w:rPr>
                <w:rFonts w:hint="eastAsia" w:ascii="宋体" w:hAnsi="宋体"/>
                <w:color w:val="000000"/>
              </w:rPr>
              <w:t>导体电阻</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6</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绝缘老化前抗张强度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7</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绝缘老化前断裂伸长率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8</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绝缘老化后抗张强度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9</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绝缘老化前后抗张强度变化率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w:t>
            </w:r>
            <w:r>
              <w:rPr>
                <w:rFonts w:ascii="宋体" w:hAnsi="宋体"/>
                <w:color w:val="000000"/>
              </w:rPr>
              <w:t>0</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绝缘老化后断裂伸长率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11</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绝缘老化前后断裂伸长率变化率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12</w:t>
            </w:r>
          </w:p>
        </w:tc>
        <w:tc>
          <w:tcPr>
            <w:tcW w:w="2693" w:type="dxa"/>
          </w:tcPr>
          <w:p>
            <w:pPr>
              <w:snapToGrid w:val="0"/>
              <w:spacing w:line="440" w:lineRule="exact"/>
              <w:jc w:val="center"/>
              <w:rPr>
                <w:rFonts w:ascii="宋体" w:hAnsi="宋体"/>
                <w:color w:val="000000"/>
              </w:rPr>
            </w:pPr>
            <w:r>
              <w:rPr>
                <w:rFonts w:hint="eastAsia" w:ascii="宋体" w:hAnsi="宋体"/>
                <w:color w:val="000000"/>
              </w:rPr>
              <w:t>绝缘热延伸</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13</w:t>
            </w:r>
          </w:p>
        </w:tc>
        <w:tc>
          <w:tcPr>
            <w:tcW w:w="2693" w:type="dxa"/>
          </w:tcPr>
          <w:p>
            <w:pPr>
              <w:snapToGrid w:val="0"/>
              <w:spacing w:line="440" w:lineRule="exact"/>
              <w:jc w:val="center"/>
              <w:rPr>
                <w:rFonts w:ascii="宋体" w:hAnsi="宋体"/>
                <w:color w:val="000000"/>
              </w:rPr>
            </w:pPr>
            <w:r>
              <w:rPr>
                <w:rFonts w:hint="eastAsia" w:ascii="宋体" w:hAnsi="宋体"/>
                <w:color w:val="000000"/>
              </w:rPr>
              <w:t>绝缘收缩</w:t>
            </w:r>
          </w:p>
        </w:tc>
        <w:tc>
          <w:tcPr>
            <w:tcW w:w="2835" w:type="dxa"/>
            <w:vAlign w:val="center"/>
          </w:tcPr>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14</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护套老化前抗张强度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15</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护套老化前断裂伸长率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16</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护套老化后抗张强度</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w:t>
            </w:r>
            <w:r>
              <w:rPr>
                <w:rFonts w:ascii="宋体" w:hAnsi="宋体"/>
                <w:color w:val="000000"/>
              </w:rPr>
              <w:t>7</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护套老化前后抗张强度变化率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ascii="宋体" w:hAnsi="宋体"/>
                <w:color w:val="000000"/>
              </w:rPr>
              <w:t>18</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护套老化后断裂伸长率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hint="eastAsia" w:ascii="宋体" w:hAnsi="宋体"/>
                <w:color w:val="000000"/>
              </w:rPr>
              <w:t>1</w:t>
            </w:r>
            <w:r>
              <w:rPr>
                <w:rFonts w:ascii="宋体" w:hAnsi="宋体"/>
                <w:color w:val="000000"/>
              </w:rPr>
              <w:t>9</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护套老化前后断裂伸长率变化率</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ascii="宋体" w:hAnsi="宋体"/>
                <w:color w:val="000000"/>
              </w:rPr>
              <w:t>20</w:t>
            </w:r>
          </w:p>
        </w:tc>
        <w:tc>
          <w:tcPr>
            <w:tcW w:w="2693" w:type="dxa"/>
            <w:vAlign w:val="center"/>
          </w:tcPr>
          <w:p>
            <w:pPr>
              <w:jc w:val="center"/>
              <w:rPr>
                <w:rFonts w:ascii="Times New Roman" w:hAnsi="Times New Roman"/>
                <w:bCs/>
                <w:color w:val="000000"/>
              </w:rPr>
            </w:pPr>
            <w:r>
              <w:rPr>
                <w:rFonts w:hint="eastAsia" w:ascii="Times New Roman" w:hAnsi="Times New Roman"/>
                <w:bCs/>
                <w:color w:val="000000"/>
              </w:rPr>
              <w:t>护套热失重试验</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pPr>
            <w:r>
              <w:rPr>
                <w:rFonts w:hint="eastAsia" w:ascii="宋体" w:hAnsi="宋体"/>
                <w:color w:val="000000"/>
              </w:rPr>
              <w:t>GB/T 9330-20</w:t>
            </w:r>
            <w:r>
              <w:rPr>
                <w:rFonts w:ascii="宋体" w:hAnsi="宋体"/>
                <w:color w:val="000000"/>
              </w:rPr>
              <w:t>20</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rPr>
            </w:pPr>
            <w:r>
              <w:rPr>
                <w:rFonts w:ascii="宋体" w:hAnsi="宋体"/>
                <w:color w:val="000000"/>
              </w:rPr>
              <w:t>21</w:t>
            </w:r>
          </w:p>
        </w:tc>
        <w:tc>
          <w:tcPr>
            <w:tcW w:w="2693" w:type="dxa"/>
            <w:vAlign w:val="center"/>
          </w:tcPr>
          <w:p>
            <w:pPr>
              <w:snapToGrid w:val="0"/>
              <w:spacing w:line="440" w:lineRule="exact"/>
              <w:jc w:val="center"/>
              <w:rPr>
                <w:rFonts w:ascii="宋体" w:hAnsi="宋体"/>
                <w:color w:val="000000"/>
              </w:rPr>
            </w:pPr>
            <w:r>
              <w:rPr>
                <w:rFonts w:hint="eastAsia" w:ascii="Times New Roman" w:hAnsi="Times New Roman"/>
                <w:bCs/>
                <w:color w:val="000000"/>
              </w:rPr>
              <w:t>单根垂直燃烧试验</w:t>
            </w:r>
          </w:p>
        </w:tc>
        <w:tc>
          <w:tcPr>
            <w:tcW w:w="2835"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9330-20</w:t>
            </w:r>
            <w:r>
              <w:rPr>
                <w:rFonts w:ascii="宋体" w:hAnsi="宋体"/>
                <w:color w:val="000000"/>
              </w:rPr>
              <w:t>20</w:t>
            </w:r>
          </w:p>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color w:val="000000"/>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tc>
        <w:tc>
          <w:tcPr>
            <w:tcW w:w="2828" w:type="dxa"/>
            <w:vAlign w:val="center"/>
          </w:tcPr>
          <w:p>
            <w:pPr>
              <w:snapToGrid w:val="0"/>
              <w:jc w:val="center"/>
              <w:rPr>
                <w:rFonts w:ascii="宋体" w:hAnsi="宋体"/>
                <w:color w:val="000000"/>
              </w:rPr>
            </w:pPr>
            <w:r>
              <w:rPr>
                <w:rFonts w:hint="eastAsia" w:ascii="宋体" w:hAnsi="宋体"/>
                <w:color w:val="000000"/>
              </w:rPr>
              <w:t>GB/T 9330.</w:t>
            </w:r>
            <w:r>
              <w:rPr>
                <w:rFonts w:ascii="宋体" w:hAnsi="宋体"/>
                <w:color w:val="000000"/>
              </w:rPr>
              <w:t>2</w:t>
            </w:r>
            <w:r>
              <w:rPr>
                <w:rFonts w:hint="eastAsia" w:ascii="宋体" w:hAnsi="宋体"/>
                <w:color w:val="000000"/>
              </w:rPr>
              <w:t>-2008</w:t>
            </w:r>
          </w:p>
          <w:p>
            <w:pPr>
              <w:snapToGrid w:val="0"/>
              <w:jc w:val="center"/>
              <w:rPr>
                <w:rFonts w:ascii="宋体" w:hAnsi="宋体"/>
                <w:color w:val="000000"/>
              </w:rPr>
            </w:pPr>
            <w:r>
              <w:rPr>
                <w:rFonts w:hint="eastAsia" w:ascii="宋体" w:hAnsi="宋体"/>
                <w:color w:val="000000"/>
              </w:rPr>
              <w:t>GB/T 9330.</w:t>
            </w:r>
            <w:r>
              <w:rPr>
                <w:rFonts w:ascii="宋体" w:hAnsi="宋体"/>
                <w:color w:val="000000"/>
              </w:rPr>
              <w:t>3</w:t>
            </w:r>
            <w:r>
              <w:rPr>
                <w:rFonts w:hint="eastAsia" w:ascii="宋体" w:hAnsi="宋体"/>
                <w:color w:val="000000"/>
              </w:rPr>
              <w:t>-2008</w:t>
            </w:r>
          </w:p>
          <w:p>
            <w:pPr>
              <w:jc w:val="center"/>
              <w:rPr>
                <w:rFonts w:ascii="宋体" w:hAnsi="宋体"/>
                <w:color w:val="000000"/>
              </w:rPr>
            </w:pPr>
            <w:r>
              <w:rPr>
                <w:rFonts w:hint="eastAsia" w:ascii="宋体" w:hAnsi="宋体"/>
                <w:color w:val="000000"/>
              </w:rPr>
              <w:t>GB/T 9330-20</w:t>
            </w:r>
            <w:r>
              <w:rPr>
                <w:rFonts w:ascii="宋体" w:hAnsi="宋体"/>
                <w:color w:val="000000"/>
              </w:rPr>
              <w:t>20</w:t>
            </w:r>
          </w:p>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color w:val="000000"/>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color w:val="000000"/>
              </w:rPr>
            </w:pPr>
            <w:r>
              <w:rPr>
                <w:rFonts w:hint="eastAsia" w:ascii="宋体" w:hAnsi="宋体"/>
                <w:color w:val="000000"/>
              </w:rPr>
              <w:t>2</w:t>
            </w:r>
            <w:r>
              <w:rPr>
                <w:rFonts w:ascii="宋体" w:hAnsi="宋体"/>
                <w:color w:val="000000"/>
              </w:rPr>
              <w:t>2</w:t>
            </w:r>
          </w:p>
        </w:tc>
        <w:tc>
          <w:tcPr>
            <w:tcW w:w="2693" w:type="dxa"/>
            <w:vAlign w:val="center"/>
          </w:tcPr>
          <w:p>
            <w:pPr>
              <w:snapToGrid w:val="0"/>
              <w:spacing w:line="440" w:lineRule="exact"/>
              <w:jc w:val="center"/>
              <w:rPr>
                <w:rFonts w:ascii="宋体" w:hAnsi="宋体"/>
              </w:rPr>
            </w:pPr>
            <w:r>
              <w:rPr>
                <w:rFonts w:hint="eastAsia" w:ascii="宋体" w:hAnsi="宋体"/>
              </w:rPr>
              <w:t>成束阻燃性能</w:t>
            </w:r>
          </w:p>
        </w:tc>
        <w:tc>
          <w:tcPr>
            <w:tcW w:w="2835"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306.1-2007</w:t>
            </w:r>
          </w:p>
          <w:p>
            <w:pPr>
              <w:snapToGrid w:val="0"/>
              <w:jc w:val="center"/>
              <w:rPr>
                <w:rFonts w:ascii="宋体" w:hAnsi="宋体"/>
                <w:color w:val="000000"/>
              </w:rPr>
            </w:pPr>
            <w:r>
              <w:rPr>
                <w:rFonts w:ascii="宋体" w:hAnsi="宋体"/>
              </w:rPr>
              <w:t>XF 306.1-2007</w:t>
            </w:r>
          </w:p>
        </w:tc>
        <w:tc>
          <w:tcPr>
            <w:tcW w:w="2828"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306.1-2007</w:t>
            </w:r>
          </w:p>
          <w:p>
            <w:pPr>
              <w:snapToGrid w:val="0"/>
              <w:jc w:val="center"/>
              <w:rPr>
                <w:rFonts w:ascii="宋体" w:hAnsi="宋体"/>
                <w:color w:val="000000"/>
              </w:rPr>
            </w:pPr>
            <w:r>
              <w:rPr>
                <w:rFonts w:ascii="宋体" w:hAnsi="宋体"/>
              </w:rPr>
              <w:t>XF 306.1-2007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color w:val="000000"/>
              </w:rPr>
            </w:pPr>
            <w:r>
              <w:rPr>
                <w:rFonts w:hint="eastAsia" w:ascii="宋体" w:hAnsi="宋体"/>
                <w:color w:val="000000"/>
              </w:rPr>
              <w:t>2</w:t>
            </w:r>
            <w:r>
              <w:rPr>
                <w:rFonts w:ascii="宋体" w:hAnsi="宋体"/>
                <w:color w:val="000000"/>
              </w:rPr>
              <w:t>3</w:t>
            </w:r>
          </w:p>
        </w:tc>
        <w:tc>
          <w:tcPr>
            <w:tcW w:w="2693" w:type="dxa"/>
            <w:vAlign w:val="center"/>
          </w:tcPr>
          <w:p>
            <w:pPr>
              <w:snapToGrid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无卤性能</w:t>
            </w:r>
          </w:p>
        </w:tc>
        <w:tc>
          <w:tcPr>
            <w:tcW w:w="2835"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306.1-2007</w:t>
            </w:r>
          </w:p>
          <w:p>
            <w:pPr>
              <w:jc w:val="center"/>
              <w:rPr>
                <w:rFonts w:ascii="宋体" w:hAnsi="宋体"/>
              </w:rPr>
            </w:pPr>
            <w:r>
              <w:rPr>
                <w:rFonts w:ascii="宋体" w:hAnsi="宋体"/>
              </w:rPr>
              <w:t>XF 306.1-2007</w:t>
            </w:r>
          </w:p>
          <w:p>
            <w:pPr>
              <w:snapToGrid w:val="0"/>
              <w:jc w:val="center"/>
              <w:rPr>
                <w:rFonts w:ascii="宋体" w:hAnsi="宋体"/>
              </w:rPr>
            </w:pPr>
            <w:r>
              <w:rPr>
                <w:rFonts w:ascii="宋体" w:hAnsi="宋体"/>
              </w:rPr>
              <w:t>GA 306.2-2007</w:t>
            </w:r>
          </w:p>
          <w:p>
            <w:pPr>
              <w:snapToGrid w:val="0"/>
              <w:jc w:val="center"/>
              <w:rPr>
                <w:rFonts w:ascii="宋体" w:hAnsi="宋体"/>
                <w:color w:val="000000"/>
              </w:rPr>
            </w:pPr>
            <w:r>
              <w:rPr>
                <w:rFonts w:ascii="宋体" w:hAnsi="宋体"/>
              </w:rPr>
              <w:t>XF 306.2-2007</w:t>
            </w:r>
          </w:p>
        </w:tc>
        <w:tc>
          <w:tcPr>
            <w:tcW w:w="2828"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306.1-2007</w:t>
            </w:r>
          </w:p>
          <w:p>
            <w:pPr>
              <w:jc w:val="center"/>
              <w:rPr>
                <w:rFonts w:ascii="宋体" w:hAnsi="宋体"/>
              </w:rPr>
            </w:pPr>
            <w:r>
              <w:rPr>
                <w:rFonts w:ascii="宋体" w:hAnsi="宋体"/>
              </w:rPr>
              <w:t>XF 306.1-2007</w:t>
            </w:r>
          </w:p>
          <w:p>
            <w:pPr>
              <w:snapToGrid w:val="0"/>
              <w:jc w:val="center"/>
              <w:rPr>
                <w:rFonts w:ascii="宋体" w:hAnsi="宋体"/>
              </w:rPr>
            </w:pPr>
            <w:r>
              <w:rPr>
                <w:rFonts w:ascii="宋体" w:hAnsi="宋体"/>
              </w:rPr>
              <w:t>GA 306.2-2007</w:t>
            </w:r>
          </w:p>
          <w:p>
            <w:pPr>
              <w:snapToGrid w:val="0"/>
              <w:jc w:val="center"/>
              <w:rPr>
                <w:rFonts w:ascii="宋体" w:hAnsi="宋体"/>
                <w:color w:val="000000"/>
              </w:rPr>
            </w:pPr>
            <w:r>
              <w:rPr>
                <w:rFonts w:ascii="宋体" w:hAnsi="宋体"/>
              </w:rPr>
              <w:t>XF 306.2-2007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color w:val="000000"/>
              </w:rPr>
            </w:pPr>
            <w:r>
              <w:rPr>
                <w:rFonts w:hint="eastAsia" w:ascii="宋体" w:hAnsi="宋体"/>
                <w:color w:val="000000"/>
              </w:rPr>
              <w:t>2</w:t>
            </w:r>
            <w:r>
              <w:rPr>
                <w:rFonts w:ascii="宋体" w:hAnsi="宋体"/>
                <w:color w:val="000000"/>
              </w:rPr>
              <w:t>4</w:t>
            </w:r>
          </w:p>
        </w:tc>
        <w:tc>
          <w:tcPr>
            <w:tcW w:w="2693" w:type="dxa"/>
            <w:vAlign w:val="center"/>
          </w:tcPr>
          <w:p>
            <w:pPr>
              <w:snapToGrid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低烟性能</w:t>
            </w:r>
          </w:p>
        </w:tc>
        <w:tc>
          <w:tcPr>
            <w:tcW w:w="2835"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306.1-2007</w:t>
            </w:r>
          </w:p>
          <w:p>
            <w:pPr>
              <w:snapToGrid w:val="0"/>
              <w:jc w:val="center"/>
              <w:rPr>
                <w:rFonts w:ascii="宋体" w:hAnsi="宋体"/>
              </w:rPr>
            </w:pPr>
            <w:r>
              <w:rPr>
                <w:rFonts w:ascii="宋体" w:hAnsi="宋体"/>
              </w:rPr>
              <w:t>XF 306.1-2007</w:t>
            </w:r>
          </w:p>
          <w:p>
            <w:pPr>
              <w:snapToGrid w:val="0"/>
              <w:jc w:val="center"/>
              <w:rPr>
                <w:rFonts w:ascii="宋体" w:hAnsi="宋体"/>
              </w:rPr>
            </w:pPr>
            <w:r>
              <w:rPr>
                <w:rFonts w:ascii="宋体" w:hAnsi="宋体"/>
              </w:rPr>
              <w:t>GA 306.2-2007</w:t>
            </w:r>
          </w:p>
          <w:p>
            <w:pPr>
              <w:snapToGrid w:val="0"/>
              <w:jc w:val="center"/>
              <w:rPr>
                <w:rFonts w:ascii="宋体" w:hAnsi="宋体"/>
                <w:color w:val="000000"/>
              </w:rPr>
            </w:pPr>
            <w:r>
              <w:rPr>
                <w:rFonts w:ascii="宋体" w:hAnsi="宋体"/>
              </w:rPr>
              <w:t>XF 306.2-2007</w:t>
            </w:r>
          </w:p>
        </w:tc>
        <w:tc>
          <w:tcPr>
            <w:tcW w:w="2828"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306.1-2007</w:t>
            </w:r>
          </w:p>
          <w:p>
            <w:pPr>
              <w:snapToGrid w:val="0"/>
              <w:jc w:val="center"/>
              <w:rPr>
                <w:rFonts w:ascii="宋体" w:hAnsi="宋体"/>
              </w:rPr>
            </w:pPr>
            <w:r>
              <w:rPr>
                <w:rFonts w:ascii="宋体" w:hAnsi="宋体"/>
              </w:rPr>
              <w:t>XF 306.1-2007</w:t>
            </w:r>
          </w:p>
          <w:p>
            <w:pPr>
              <w:snapToGrid w:val="0"/>
              <w:jc w:val="center"/>
              <w:rPr>
                <w:rFonts w:ascii="宋体" w:hAnsi="宋体"/>
              </w:rPr>
            </w:pPr>
            <w:r>
              <w:rPr>
                <w:rFonts w:ascii="宋体" w:hAnsi="宋体"/>
              </w:rPr>
              <w:t>GA 306.2-2007</w:t>
            </w:r>
          </w:p>
          <w:p>
            <w:pPr>
              <w:snapToGrid w:val="0"/>
              <w:jc w:val="center"/>
              <w:rPr>
                <w:rFonts w:ascii="宋体" w:hAnsi="宋体"/>
                <w:color w:val="000000"/>
              </w:rPr>
            </w:pPr>
            <w:r>
              <w:rPr>
                <w:rFonts w:ascii="宋体" w:hAnsi="宋体"/>
              </w:rPr>
              <w:t>XF 306.2-2007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color w:val="000000"/>
              </w:rPr>
            </w:pPr>
            <w:r>
              <w:rPr>
                <w:rFonts w:hint="eastAsia" w:ascii="宋体" w:hAnsi="宋体"/>
                <w:color w:val="000000"/>
              </w:rPr>
              <w:t>2</w:t>
            </w:r>
            <w:r>
              <w:rPr>
                <w:rFonts w:ascii="宋体" w:hAnsi="宋体"/>
                <w:color w:val="000000"/>
              </w:rPr>
              <w:t>5</w:t>
            </w:r>
          </w:p>
        </w:tc>
        <w:tc>
          <w:tcPr>
            <w:tcW w:w="2693" w:type="dxa"/>
            <w:vAlign w:val="center"/>
          </w:tcPr>
          <w:p>
            <w:pPr>
              <w:snapToGrid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耐火性能</w:t>
            </w:r>
          </w:p>
        </w:tc>
        <w:tc>
          <w:tcPr>
            <w:tcW w:w="2835"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306.2-2007</w:t>
            </w:r>
          </w:p>
          <w:p>
            <w:pPr>
              <w:snapToGrid w:val="0"/>
              <w:jc w:val="center"/>
              <w:rPr>
                <w:rFonts w:ascii="宋体" w:hAnsi="宋体"/>
                <w:color w:val="000000"/>
              </w:rPr>
            </w:pPr>
            <w:r>
              <w:rPr>
                <w:rFonts w:ascii="宋体" w:hAnsi="宋体"/>
              </w:rPr>
              <w:t>XF 306.2-2007</w:t>
            </w:r>
          </w:p>
        </w:tc>
        <w:tc>
          <w:tcPr>
            <w:tcW w:w="2828" w:type="dxa"/>
            <w:vAlign w:val="center"/>
          </w:tcPr>
          <w:p>
            <w:pPr>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2005</w:t>
            </w:r>
          </w:p>
          <w:p>
            <w:pPr>
              <w:snapToGrid w:val="0"/>
              <w:jc w:val="center"/>
              <w:rPr>
                <w:rFonts w:ascii="宋体" w:hAnsi="宋体"/>
              </w:rPr>
            </w:pPr>
            <w:r>
              <w:rPr>
                <w:rFonts w:hint="eastAsia" w:ascii="宋体" w:hAnsi="宋体"/>
              </w:rPr>
              <w:t xml:space="preserve">GB/T </w:t>
            </w:r>
            <w:r>
              <w:rPr>
                <w:rFonts w:ascii="宋体" w:hAnsi="宋体"/>
              </w:rPr>
              <w:t>19666</w:t>
            </w:r>
            <w:r>
              <w:rPr>
                <w:rFonts w:hint="eastAsia" w:ascii="宋体" w:hAnsi="宋体"/>
              </w:rPr>
              <w:t>-</w:t>
            </w:r>
            <w:r>
              <w:rPr>
                <w:rFonts w:ascii="宋体" w:hAnsi="宋体"/>
              </w:rPr>
              <w:t>2019</w:t>
            </w:r>
          </w:p>
          <w:p>
            <w:pPr>
              <w:snapToGrid w:val="0"/>
              <w:jc w:val="center"/>
              <w:rPr>
                <w:rFonts w:ascii="宋体" w:hAnsi="宋体"/>
              </w:rPr>
            </w:pPr>
            <w:r>
              <w:rPr>
                <w:rFonts w:ascii="宋体" w:hAnsi="宋体"/>
              </w:rPr>
              <w:t>GA 306.2-2007</w:t>
            </w:r>
          </w:p>
          <w:p>
            <w:pPr>
              <w:snapToGrid w:val="0"/>
              <w:jc w:val="center"/>
              <w:rPr>
                <w:rFonts w:ascii="宋体" w:hAnsi="宋体"/>
                <w:color w:val="000000"/>
              </w:rPr>
            </w:pPr>
            <w:r>
              <w:rPr>
                <w:rFonts w:ascii="宋体" w:hAnsi="宋体"/>
              </w:rPr>
              <w:t>XF 306.2-2007</w:t>
            </w:r>
          </w:p>
        </w:tc>
      </w:tr>
    </w:tbl>
    <w:p>
      <w:pPr>
        <w:spacing w:line="360" w:lineRule="auto"/>
        <w:ind w:firstLine="420" w:firstLineChars="200"/>
        <w:rPr>
          <w:rFonts w:hint="eastAsia"/>
          <w:szCs w:val="21"/>
        </w:rPr>
      </w:pPr>
      <w:r>
        <w:rPr>
          <w:rFonts w:hint="eastAsia"/>
          <w:szCs w:val="21"/>
        </w:rPr>
        <w:t>注：1.上表所列检验项目是有关法律法规、标准等规定的，重点涉及健康、安全、节能、环保以及消费者、有关组织反映有质量问题的重要项目。</w:t>
      </w:r>
    </w:p>
    <w:p>
      <w:pPr>
        <w:spacing w:line="360" w:lineRule="auto"/>
        <w:ind w:firstLine="420" w:firstLineChars="200"/>
        <w:rPr>
          <w:rFonts w:hint="eastAsia"/>
          <w:szCs w:val="21"/>
        </w:rPr>
      </w:pPr>
      <w:r>
        <w:rPr>
          <w:rFonts w:hint="eastAsia"/>
          <w:szCs w:val="21"/>
        </w:rPr>
        <w:t>2.检验方法包括相关产品标准及试验方法标准。</w:t>
      </w:r>
    </w:p>
    <w:p>
      <w:pPr>
        <w:spacing w:line="360" w:lineRule="auto"/>
        <w:ind w:firstLine="420" w:firstLineChars="200"/>
        <w:rPr>
          <w:rFonts w:hint="eastAsia"/>
          <w:szCs w:val="21"/>
        </w:rPr>
      </w:pPr>
      <w:r>
        <w:rPr>
          <w:rFonts w:hint="eastAsia"/>
          <w:szCs w:val="21"/>
        </w:rPr>
        <w:t>3.凡是注日期的文件，其随后所有的修改单（不包括勘误的内容）或修订版不适用于本细则。凡是不注日期的文件，其最新版本适用于本细则。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rFonts w:ascii="Times New Roman" w:hAnsi="Times New Roman"/>
        </w:rPr>
      </w:pPr>
      <w:r>
        <w:rPr>
          <w:rFonts w:hint="eastAsia"/>
          <w:szCs w:val="21"/>
        </w:rPr>
        <w:t>4.执行企业标准、团体标准、地方标准的产品，检验项目参照上述内容执行。</w:t>
      </w:r>
    </w:p>
    <w:p>
      <w:pPr>
        <w:snapToGrid w:val="0"/>
        <w:spacing w:line="440" w:lineRule="exact"/>
        <w:ind w:firstLine="359" w:firstLineChars="171"/>
        <w:rPr>
          <w:rFonts w:ascii="Times New Roman" w:hAnsi="Times New Roman"/>
          <w:color w:val="FF0000"/>
        </w:rPr>
      </w:pPr>
    </w:p>
    <w:p>
      <w:pPr>
        <w:spacing w:line="360" w:lineRule="auto"/>
        <w:rPr>
          <w:rFonts w:ascii="黑体" w:hAnsi="黑体" w:eastAsia="黑体" w:cs="Times New Roman"/>
        </w:rPr>
      </w:pPr>
      <w:r>
        <w:rPr>
          <w:rFonts w:hint="eastAsia" w:ascii="黑体" w:hAnsi="黑体" w:eastAsia="黑体" w:cs="Times New Roman"/>
        </w:rPr>
        <w:t xml:space="preserve">3 </w:t>
      </w:r>
      <w:r>
        <w:rPr>
          <w:rFonts w:hint="eastAsia" w:ascii="黑体" w:hAnsi="黑体" w:eastAsia="黑体" w:cs="Times New Roman"/>
          <w:lang w:val="en-US" w:eastAsia="zh-CN"/>
        </w:rPr>
        <w:t xml:space="preserve"> </w:t>
      </w:r>
      <w:r>
        <w:rPr>
          <w:rFonts w:hint="eastAsia" w:ascii="黑体" w:hAnsi="黑体" w:eastAsia="黑体" w:cs="Times New Roman"/>
        </w:rPr>
        <w:t>判定规则</w:t>
      </w:r>
    </w:p>
    <w:p>
      <w:pPr>
        <w:snapToGrid w:val="0"/>
        <w:spacing w:line="440" w:lineRule="exact"/>
        <w:rPr>
          <w:rFonts w:hint="eastAsia" w:ascii="黑体" w:hAnsi="黑体" w:eastAsia="黑体" w:cs="黑体"/>
          <w:color w:val="000000"/>
        </w:rPr>
      </w:pPr>
      <w:r>
        <w:rPr>
          <w:rFonts w:hint="eastAsia" w:ascii="黑体" w:hAnsi="黑体" w:eastAsia="黑体" w:cs="黑体"/>
          <w:color w:val="000000"/>
        </w:rPr>
        <w:t>3.1</w:t>
      </w:r>
      <w:r>
        <w:rPr>
          <w:rFonts w:hint="eastAsia" w:ascii="黑体" w:hAnsi="黑体" w:eastAsia="黑体" w:cs="黑体"/>
          <w:color w:val="000000"/>
          <w:lang w:val="en-US" w:eastAsia="zh-CN"/>
        </w:rPr>
        <w:t xml:space="preserve">  </w:t>
      </w:r>
      <w:r>
        <w:rPr>
          <w:rFonts w:hint="eastAsia" w:ascii="黑体" w:hAnsi="黑体" w:eastAsia="黑体" w:cs="黑体"/>
          <w:color w:val="000000"/>
        </w:rPr>
        <w:t>依据标准</w:t>
      </w:r>
    </w:p>
    <w:p>
      <w:pPr>
        <w:snapToGrid w:val="0"/>
        <w:spacing w:line="440" w:lineRule="exact"/>
        <w:ind w:firstLine="420" w:firstLineChars="200"/>
        <w:rPr>
          <w:rFonts w:ascii="宋体" w:hAnsi="宋体" w:eastAsia="宋体"/>
          <w:color w:val="000000"/>
        </w:rPr>
      </w:pPr>
      <w:r>
        <w:rPr>
          <w:rFonts w:ascii="宋体" w:hAnsi="宋体" w:eastAsia="宋体"/>
          <w:color w:val="000000"/>
        </w:rPr>
        <w:t>GB/T 9330.1-2008</w:t>
      </w:r>
      <w:r>
        <w:rPr>
          <w:rFonts w:hint="eastAsia" w:ascii="宋体" w:hAnsi="宋体" w:eastAsia="宋体"/>
          <w:color w:val="000000"/>
          <w:lang w:val="en-US" w:eastAsia="zh-CN"/>
        </w:rPr>
        <w:t xml:space="preserve">  </w:t>
      </w:r>
      <w:r>
        <w:rPr>
          <w:rFonts w:ascii="宋体" w:hAnsi="宋体" w:eastAsia="宋体"/>
          <w:color w:val="000000"/>
        </w:rPr>
        <w:t>塑料绝缘控制电缆 第 1 部分:一般规定</w:t>
      </w:r>
    </w:p>
    <w:p>
      <w:pPr>
        <w:snapToGrid w:val="0"/>
        <w:spacing w:line="440" w:lineRule="exact"/>
        <w:ind w:firstLine="420" w:firstLineChars="200"/>
        <w:rPr>
          <w:rFonts w:ascii="宋体" w:hAnsi="宋体" w:eastAsia="宋体"/>
          <w:color w:val="000000"/>
        </w:rPr>
      </w:pPr>
      <w:r>
        <w:rPr>
          <w:rFonts w:hint="eastAsia" w:ascii="宋体" w:hAnsi="宋体" w:eastAsia="宋体"/>
          <w:color w:val="000000"/>
        </w:rPr>
        <w:t>GB/T 9330.2-2008</w:t>
      </w:r>
      <w:r>
        <w:rPr>
          <w:rFonts w:hint="eastAsia" w:ascii="宋体" w:hAnsi="宋体" w:eastAsia="宋体"/>
          <w:color w:val="000000"/>
          <w:lang w:val="en-US" w:eastAsia="zh-CN"/>
        </w:rPr>
        <w:t xml:space="preserve">  </w:t>
      </w:r>
      <w:r>
        <w:rPr>
          <w:rFonts w:ascii="宋体" w:hAnsi="宋体" w:eastAsia="宋体"/>
          <w:color w:val="000000"/>
        </w:rPr>
        <w:t>塑料绝缘控制电缆 第2部分:聚氯乙烯绝缘和护套控制电缆</w:t>
      </w:r>
    </w:p>
    <w:p>
      <w:pPr>
        <w:snapToGrid w:val="0"/>
        <w:spacing w:line="440" w:lineRule="exact"/>
        <w:ind w:firstLine="420" w:firstLineChars="200"/>
        <w:rPr>
          <w:rFonts w:ascii="宋体" w:hAnsi="宋体" w:eastAsia="宋体"/>
          <w:color w:val="000000"/>
        </w:rPr>
      </w:pPr>
      <w:r>
        <w:rPr>
          <w:rFonts w:hint="eastAsia" w:ascii="宋体" w:hAnsi="宋体" w:eastAsia="宋体"/>
          <w:color w:val="000000"/>
        </w:rPr>
        <w:t>GB/T 9330.3-2008</w:t>
      </w:r>
      <w:r>
        <w:rPr>
          <w:rFonts w:hint="eastAsia" w:ascii="宋体" w:hAnsi="宋体" w:eastAsia="宋体"/>
          <w:color w:val="000000"/>
          <w:lang w:val="en-US" w:eastAsia="zh-CN"/>
        </w:rPr>
        <w:t xml:space="preserve">  </w:t>
      </w:r>
      <w:r>
        <w:rPr>
          <w:rFonts w:ascii="宋体" w:hAnsi="宋体" w:eastAsia="宋体"/>
          <w:color w:val="000000"/>
        </w:rPr>
        <w:t>塑料绝缘控制电缆 第3部分:交联聚乙烯绝缘控制电缆</w:t>
      </w:r>
    </w:p>
    <w:p>
      <w:pPr>
        <w:snapToGrid w:val="0"/>
        <w:spacing w:line="440" w:lineRule="exact"/>
        <w:ind w:firstLine="420" w:firstLineChars="200"/>
        <w:rPr>
          <w:rFonts w:ascii="宋体" w:hAnsi="宋体" w:eastAsia="宋体"/>
          <w:color w:val="000000"/>
        </w:rPr>
      </w:pPr>
      <w:r>
        <w:rPr>
          <w:rFonts w:ascii="宋体" w:hAnsi="宋体" w:eastAsia="宋体"/>
          <w:color w:val="000000"/>
        </w:rPr>
        <w:t>GB/T 9330-2020</w:t>
      </w:r>
      <w:r>
        <w:rPr>
          <w:rFonts w:hint="eastAsia" w:ascii="宋体" w:hAnsi="宋体" w:eastAsia="宋体"/>
          <w:color w:val="000000"/>
          <w:lang w:val="en-US" w:eastAsia="zh-CN"/>
        </w:rPr>
        <w:t xml:space="preserve">  </w:t>
      </w:r>
      <w:r>
        <w:rPr>
          <w:rFonts w:ascii="宋体" w:hAnsi="宋体" w:eastAsia="宋体"/>
          <w:color w:val="000000"/>
        </w:rPr>
        <w:t>塑料绝缘控制电缆</w:t>
      </w:r>
    </w:p>
    <w:p>
      <w:pPr>
        <w:snapToGrid w:val="0"/>
        <w:spacing w:line="440" w:lineRule="exact"/>
        <w:ind w:firstLine="417" w:firstLineChars="199"/>
        <w:rPr>
          <w:rFonts w:ascii="宋体" w:hAnsi="宋体" w:eastAsia="宋体"/>
        </w:rPr>
      </w:pPr>
      <w:r>
        <w:rPr>
          <w:rFonts w:hint="eastAsia" w:ascii="宋体" w:hAnsi="宋体" w:eastAsia="宋体"/>
        </w:rPr>
        <w:t>GB/T 19666-20</w:t>
      </w:r>
      <w:r>
        <w:rPr>
          <w:rFonts w:ascii="宋体" w:hAnsi="宋体" w:eastAsia="宋体"/>
        </w:rPr>
        <w:t>05</w:t>
      </w:r>
      <w:r>
        <w:rPr>
          <w:rFonts w:hint="eastAsia" w:ascii="宋体" w:hAnsi="宋体" w:eastAsia="宋体"/>
          <w:lang w:val="en-US" w:eastAsia="zh-CN"/>
        </w:rPr>
        <w:t xml:space="preserve">  </w:t>
      </w:r>
      <w:r>
        <w:rPr>
          <w:rFonts w:hint="eastAsia" w:ascii="宋体" w:hAnsi="宋体" w:eastAsia="宋体"/>
        </w:rPr>
        <w:t>阻燃和耐火电线电缆通则</w:t>
      </w:r>
    </w:p>
    <w:p>
      <w:pPr>
        <w:snapToGrid w:val="0"/>
        <w:spacing w:line="440" w:lineRule="exact"/>
        <w:ind w:firstLine="417" w:firstLineChars="199"/>
        <w:rPr>
          <w:rFonts w:ascii="宋体" w:hAnsi="宋体" w:eastAsia="宋体"/>
        </w:rPr>
      </w:pPr>
      <w:r>
        <w:rPr>
          <w:rFonts w:hint="eastAsia" w:ascii="宋体" w:hAnsi="宋体" w:eastAsia="宋体"/>
        </w:rPr>
        <w:t>GB/T 19666-2019</w:t>
      </w:r>
      <w:r>
        <w:rPr>
          <w:rFonts w:hint="eastAsia" w:ascii="宋体" w:hAnsi="宋体" w:eastAsia="宋体"/>
          <w:lang w:val="en-US" w:eastAsia="zh-CN"/>
        </w:rPr>
        <w:t xml:space="preserve">  </w:t>
      </w:r>
      <w:r>
        <w:rPr>
          <w:rFonts w:hint="eastAsia" w:ascii="宋体" w:hAnsi="宋体" w:eastAsia="宋体"/>
        </w:rPr>
        <w:t>阻燃和耐火电线电缆或光缆通则</w:t>
      </w:r>
    </w:p>
    <w:p>
      <w:pPr>
        <w:snapToGrid w:val="0"/>
        <w:spacing w:line="440" w:lineRule="exact"/>
        <w:ind w:firstLine="417" w:firstLineChars="199"/>
        <w:rPr>
          <w:rFonts w:ascii="宋体" w:hAnsi="宋体" w:eastAsia="宋体"/>
        </w:rPr>
      </w:pPr>
      <w:r>
        <w:rPr>
          <w:rFonts w:ascii="宋体" w:hAnsi="宋体" w:eastAsia="宋体"/>
        </w:rPr>
        <w:t>GA 306.1-2007</w:t>
      </w:r>
      <w:r>
        <w:rPr>
          <w:rFonts w:hint="eastAsia" w:ascii="宋体" w:hAnsi="宋体" w:eastAsia="宋体"/>
          <w:lang w:val="en-US" w:eastAsia="zh-CN"/>
        </w:rPr>
        <w:t xml:space="preserve">  </w:t>
      </w:r>
      <w:r>
        <w:rPr>
          <w:rFonts w:hint="eastAsia" w:ascii="宋体" w:hAnsi="宋体" w:eastAsia="宋体"/>
        </w:rPr>
        <w:t>阻燃及耐火电缆 塑料绝缘阻燃及耐火电缆分级和要求 第1部分：阻燃电缆</w:t>
      </w:r>
    </w:p>
    <w:p>
      <w:pPr>
        <w:snapToGrid w:val="0"/>
        <w:spacing w:line="440" w:lineRule="exact"/>
        <w:ind w:firstLine="417" w:firstLineChars="199"/>
        <w:rPr>
          <w:rFonts w:ascii="宋体" w:hAnsi="宋体" w:eastAsia="宋体"/>
        </w:rPr>
      </w:pPr>
      <w:r>
        <w:rPr>
          <w:rFonts w:ascii="宋体" w:hAnsi="宋体" w:eastAsia="宋体"/>
        </w:rPr>
        <w:t>XF 306.1-2007</w:t>
      </w:r>
      <w:r>
        <w:rPr>
          <w:rFonts w:hint="eastAsia" w:ascii="宋体" w:hAnsi="宋体" w:eastAsia="宋体"/>
          <w:lang w:val="en-US" w:eastAsia="zh-CN"/>
        </w:rPr>
        <w:t xml:space="preserve">  </w:t>
      </w:r>
      <w:r>
        <w:rPr>
          <w:rFonts w:hint="eastAsia" w:ascii="宋体" w:hAnsi="宋体" w:eastAsia="宋体"/>
        </w:rPr>
        <w:t>阻燃及耐火电缆 塑料绝缘阻燃及耐火电缆分级和要求 第1部分：阻燃电缆</w:t>
      </w:r>
    </w:p>
    <w:p>
      <w:pPr>
        <w:snapToGrid w:val="0"/>
        <w:spacing w:line="440" w:lineRule="exact"/>
        <w:ind w:firstLine="417" w:firstLineChars="199"/>
        <w:rPr>
          <w:rFonts w:ascii="宋体" w:hAnsi="宋体" w:eastAsia="宋体"/>
        </w:rPr>
      </w:pPr>
      <w:r>
        <w:rPr>
          <w:rFonts w:ascii="宋体" w:hAnsi="宋体" w:eastAsia="宋体"/>
        </w:rPr>
        <w:t>GA 306.2-2007</w:t>
      </w:r>
      <w:r>
        <w:rPr>
          <w:rFonts w:hint="eastAsia" w:ascii="宋体" w:hAnsi="宋体" w:eastAsia="宋体"/>
          <w:lang w:val="en-US" w:eastAsia="zh-CN"/>
        </w:rPr>
        <w:t xml:space="preserve">  </w:t>
      </w:r>
      <w:r>
        <w:rPr>
          <w:rFonts w:hint="eastAsia" w:ascii="宋体" w:hAnsi="宋体" w:eastAsia="宋体"/>
        </w:rPr>
        <w:t>阻燃及耐火电缆 塑料绝缘阻燃及耐火电缆分级和要求 第</w:t>
      </w:r>
      <w:r>
        <w:rPr>
          <w:rFonts w:ascii="宋体" w:hAnsi="宋体" w:eastAsia="宋体"/>
        </w:rPr>
        <w:t>2</w:t>
      </w:r>
      <w:r>
        <w:rPr>
          <w:rFonts w:hint="eastAsia" w:ascii="宋体" w:hAnsi="宋体" w:eastAsia="宋体"/>
        </w:rPr>
        <w:t>部分：耐火电缆</w:t>
      </w:r>
    </w:p>
    <w:p>
      <w:pPr>
        <w:snapToGrid w:val="0"/>
        <w:spacing w:line="440" w:lineRule="exact"/>
        <w:ind w:firstLine="417" w:firstLineChars="199"/>
        <w:rPr>
          <w:rFonts w:ascii="宋体" w:hAnsi="宋体" w:eastAsia="宋体"/>
        </w:rPr>
      </w:pPr>
      <w:r>
        <w:rPr>
          <w:rFonts w:ascii="宋体" w:hAnsi="宋体" w:eastAsia="宋体"/>
        </w:rPr>
        <w:t>XF 306.2-2007</w:t>
      </w:r>
      <w:r>
        <w:rPr>
          <w:rFonts w:hint="eastAsia" w:ascii="宋体" w:hAnsi="宋体" w:eastAsia="宋体"/>
          <w:lang w:val="en-US" w:eastAsia="zh-CN"/>
        </w:rPr>
        <w:t xml:space="preserve">  </w:t>
      </w:r>
      <w:r>
        <w:rPr>
          <w:rFonts w:hint="eastAsia" w:ascii="宋体" w:hAnsi="宋体" w:eastAsia="宋体"/>
        </w:rPr>
        <w:t>阻燃及耐火电缆 塑料绝缘阻燃及耐火电缆分级和要求 第</w:t>
      </w:r>
      <w:r>
        <w:rPr>
          <w:rFonts w:ascii="宋体" w:hAnsi="宋体" w:eastAsia="宋体"/>
        </w:rPr>
        <w:t>2</w:t>
      </w:r>
      <w:r>
        <w:rPr>
          <w:rFonts w:hint="eastAsia" w:ascii="宋体" w:hAnsi="宋体" w:eastAsia="宋体"/>
        </w:rPr>
        <w:t>部分：耐火电缆</w:t>
      </w:r>
    </w:p>
    <w:p>
      <w:pPr>
        <w:snapToGrid w:val="0"/>
        <w:spacing w:line="440" w:lineRule="exact"/>
        <w:ind w:firstLine="420" w:firstLineChars="200"/>
        <w:rPr>
          <w:rFonts w:ascii="宋体" w:hAnsi="宋体" w:eastAsia="宋体"/>
          <w:color w:val="000000"/>
        </w:rPr>
      </w:pPr>
      <w:r>
        <w:rPr>
          <w:rFonts w:hint="eastAsia" w:ascii="宋体" w:hAnsi="宋体" w:eastAsia="宋体"/>
        </w:rPr>
        <w:t>相关的法律、行政法规、部门规章、规范性文件</w:t>
      </w:r>
    </w:p>
    <w:p>
      <w:pPr>
        <w:snapToGrid w:val="0"/>
        <w:spacing w:line="440" w:lineRule="exact"/>
        <w:ind w:firstLine="420" w:firstLineChars="200"/>
        <w:rPr>
          <w:rFonts w:ascii="宋体" w:hAnsi="宋体" w:eastAsia="宋体"/>
          <w:color w:val="000000"/>
        </w:rPr>
      </w:pPr>
      <w:r>
        <w:rPr>
          <w:rFonts w:hint="eastAsia" w:ascii="宋体" w:hAnsi="宋体" w:eastAsia="宋体"/>
          <w:color w:val="000000"/>
        </w:rPr>
        <w:t>现行有效的企业标准、团体标准、地方标准及产品明示质量要求</w:t>
      </w:r>
    </w:p>
    <w:p>
      <w:pPr>
        <w:snapToGrid w:val="0"/>
        <w:spacing w:line="440" w:lineRule="exact"/>
        <w:rPr>
          <w:rFonts w:hint="eastAsia" w:ascii="黑体" w:hAnsi="黑体" w:eastAsia="黑体" w:cs="黑体"/>
          <w:color w:val="000000"/>
        </w:rPr>
      </w:pPr>
      <w:r>
        <w:rPr>
          <w:rFonts w:hint="eastAsia" w:ascii="黑体" w:hAnsi="黑体" w:eastAsia="黑体" w:cs="黑体"/>
          <w:color w:val="000000"/>
        </w:rPr>
        <w:t>3.2</w:t>
      </w:r>
      <w:r>
        <w:rPr>
          <w:rFonts w:hint="eastAsia" w:ascii="黑体" w:hAnsi="黑体" w:eastAsia="黑体" w:cs="黑体"/>
          <w:color w:val="000000"/>
          <w:lang w:val="en-US" w:eastAsia="zh-CN"/>
        </w:rPr>
        <w:t xml:space="preserve">  </w:t>
      </w:r>
      <w:r>
        <w:rPr>
          <w:rFonts w:hint="eastAsia" w:ascii="黑体" w:hAnsi="黑体" w:eastAsia="黑体" w:cs="黑体"/>
          <w:color w:val="000000"/>
        </w:rPr>
        <w:t>判定原则</w:t>
      </w:r>
    </w:p>
    <w:p>
      <w:pPr>
        <w:snapToGrid w:val="0"/>
        <w:spacing w:line="440" w:lineRule="exact"/>
        <w:ind w:firstLine="420" w:firstLineChars="200"/>
        <w:rPr>
          <w:rFonts w:ascii="Times New Roman" w:hAnsi="Times New Roman"/>
          <w:color w:val="000000"/>
        </w:rPr>
      </w:pPr>
      <w:r>
        <w:rPr>
          <w:rFonts w:hint="eastAsia" w:ascii="Times New Roman" w:hAnsi="Times New Roman"/>
          <w:color w:val="000000"/>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rPr>
      </w:pPr>
      <w:r>
        <w:rPr>
          <w:rFonts w:hint="eastAsia" w:ascii="宋体" w:hAnsi="宋体"/>
          <w:color w:val="000000"/>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rPr>
      </w:pPr>
      <w:r>
        <w:rPr>
          <w:rFonts w:hint="eastAsia" w:ascii="宋体" w:hAnsi="宋体"/>
          <w:color w:val="000000"/>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rPr>
      </w:pPr>
      <w:r>
        <w:rPr>
          <w:rFonts w:hint="eastAsia" w:ascii="宋体" w:hAnsi="宋体"/>
          <w:color w:val="000000"/>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hAnsi="宋体"/>
        </w:rPr>
      </w:pPr>
      <w:r>
        <w:rPr>
          <w:rFonts w:hint="eastAsia" w:ascii="宋体" w:hAnsi="宋体"/>
          <w:color w:val="000000"/>
        </w:rPr>
        <w:t>若被检产品明示的质量要求缺少本细则中检验项目依据的强制性标准要求时，应按照强制性标</w:t>
      </w:r>
      <w:r>
        <w:rPr>
          <w:rFonts w:hint="eastAsia" w:ascii="宋体" w:hAnsi="宋体"/>
        </w:rPr>
        <w:t>准要求判定。</w:t>
      </w:r>
    </w:p>
    <w:p>
      <w:pPr>
        <w:snapToGrid w:val="0"/>
        <w:spacing w:line="440" w:lineRule="exact"/>
        <w:ind w:firstLine="417" w:firstLineChars="199"/>
        <w:rPr>
          <w:rFonts w:ascii="宋体" w:hAnsi="宋体"/>
        </w:rPr>
      </w:pPr>
      <w:r>
        <w:rPr>
          <w:rFonts w:hint="eastAsia" w:ascii="宋体" w:hAnsi="宋体"/>
        </w:rPr>
        <w:t>若被检产品明示的质量要求缺少本细则中检验项目依据的推荐性标准要求时，该项目不参与判定，但应在检验报告备注中进行说明</w:t>
      </w:r>
      <w:r>
        <w:rPr>
          <w:rFonts w:hint="eastAsia" w:ascii="宋体" w:hAnsi="宋体"/>
          <w:lang w:eastAsia="zh-CN"/>
        </w:rPr>
        <w:t>。</w:t>
      </w:r>
    </w:p>
    <w:p>
      <w:pPr>
        <w:snapToGrid w:val="0"/>
        <w:spacing w:line="440" w:lineRule="exact"/>
        <w:rPr>
          <w:rFonts w:ascii="宋体" w:hAnsi="宋体"/>
        </w:rPr>
      </w:pPr>
    </w:p>
    <w:p/>
    <w:sectPr>
      <w:footerReference r:id="rId3" w:type="default"/>
      <w:pgSz w:w="11906" w:h="16838"/>
      <w:pgMar w:top="1985" w:right="1361"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630479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0A"/>
    <w:rsid w:val="000B425E"/>
    <w:rsid w:val="000D76AC"/>
    <w:rsid w:val="0013315D"/>
    <w:rsid w:val="00171987"/>
    <w:rsid w:val="001A61C1"/>
    <w:rsid w:val="001D4587"/>
    <w:rsid w:val="001E71B6"/>
    <w:rsid w:val="002242DA"/>
    <w:rsid w:val="002322A8"/>
    <w:rsid w:val="00233E93"/>
    <w:rsid w:val="00247832"/>
    <w:rsid w:val="00284EFE"/>
    <w:rsid w:val="002D6D31"/>
    <w:rsid w:val="002E7A29"/>
    <w:rsid w:val="00316178"/>
    <w:rsid w:val="00322EBB"/>
    <w:rsid w:val="00327378"/>
    <w:rsid w:val="0036039F"/>
    <w:rsid w:val="00362D29"/>
    <w:rsid w:val="00371A99"/>
    <w:rsid w:val="00373CA7"/>
    <w:rsid w:val="00383E1C"/>
    <w:rsid w:val="003C0D20"/>
    <w:rsid w:val="004769A9"/>
    <w:rsid w:val="004B0128"/>
    <w:rsid w:val="004C3835"/>
    <w:rsid w:val="004D4141"/>
    <w:rsid w:val="004E3B9F"/>
    <w:rsid w:val="004F3E2F"/>
    <w:rsid w:val="00522BA4"/>
    <w:rsid w:val="0058005D"/>
    <w:rsid w:val="00592E9F"/>
    <w:rsid w:val="005E4ED0"/>
    <w:rsid w:val="0064145F"/>
    <w:rsid w:val="00645B3D"/>
    <w:rsid w:val="006906E3"/>
    <w:rsid w:val="006945DE"/>
    <w:rsid w:val="00696DAD"/>
    <w:rsid w:val="006A0BA2"/>
    <w:rsid w:val="006A323B"/>
    <w:rsid w:val="00710187"/>
    <w:rsid w:val="0075386A"/>
    <w:rsid w:val="00774C02"/>
    <w:rsid w:val="008304A3"/>
    <w:rsid w:val="00847E90"/>
    <w:rsid w:val="008C1A5D"/>
    <w:rsid w:val="008D06D4"/>
    <w:rsid w:val="00977473"/>
    <w:rsid w:val="00977EFA"/>
    <w:rsid w:val="009C72D2"/>
    <w:rsid w:val="00A2601C"/>
    <w:rsid w:val="00A77F93"/>
    <w:rsid w:val="00B2415F"/>
    <w:rsid w:val="00B90F4C"/>
    <w:rsid w:val="00BB6740"/>
    <w:rsid w:val="00BF1FFF"/>
    <w:rsid w:val="00D151DE"/>
    <w:rsid w:val="00D26042"/>
    <w:rsid w:val="00D27061"/>
    <w:rsid w:val="00D34665"/>
    <w:rsid w:val="00D3610A"/>
    <w:rsid w:val="00D70CE6"/>
    <w:rsid w:val="00DD6396"/>
    <w:rsid w:val="00DF569E"/>
    <w:rsid w:val="00E212E3"/>
    <w:rsid w:val="00E3786A"/>
    <w:rsid w:val="00E754BF"/>
    <w:rsid w:val="00E86D91"/>
    <w:rsid w:val="00EA3825"/>
    <w:rsid w:val="00EB2D5B"/>
    <w:rsid w:val="00EC5EFD"/>
    <w:rsid w:val="00F51DC9"/>
    <w:rsid w:val="00F65C32"/>
    <w:rsid w:val="00FA4539"/>
    <w:rsid w:val="1117782B"/>
    <w:rsid w:val="123460BC"/>
    <w:rsid w:val="2442616A"/>
    <w:rsid w:val="31EF7780"/>
    <w:rsid w:val="337329C8"/>
    <w:rsid w:val="35923C59"/>
    <w:rsid w:val="372D0690"/>
    <w:rsid w:val="38F951E4"/>
    <w:rsid w:val="42E068D9"/>
    <w:rsid w:val="48AC785D"/>
    <w:rsid w:val="636C48AB"/>
    <w:rsid w:val="66A81567"/>
    <w:rsid w:val="ABF79F72"/>
    <w:rsid w:val="B5EE1214"/>
    <w:rsid w:val="DEFEEEBB"/>
    <w:rsid w:val="FFDF1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kern w:val="2"/>
      <w:sz w:val="21"/>
      <w:szCs w:val="21"/>
    </w:rPr>
  </w:style>
  <w:style w:type="character" w:customStyle="1" w:styleId="13">
    <w:name w:val="批注主题 字符"/>
    <w:basedOn w:val="12"/>
    <w:link w:val="6"/>
    <w:semiHidden/>
    <w:qFormat/>
    <w:uiPriority w:val="99"/>
    <w:rPr>
      <w:b/>
      <w:bCs/>
      <w:kern w:val="2"/>
      <w:sz w:val="21"/>
      <w:szCs w:val="21"/>
    </w:rPr>
  </w:style>
  <w:style w:type="character" w:customStyle="1" w:styleId="14">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660</Words>
  <Characters>3766</Characters>
  <Lines>31</Lines>
  <Paragraphs>8</Paragraphs>
  <TotalTime>3</TotalTime>
  <ScaleCrop>false</ScaleCrop>
  <LinksUpToDate>false</LinksUpToDate>
  <CharactersWithSpaces>4418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2021-03-17T14:33:00Z</dcterms:created>
  <dc:creator>付郑寰</dc:creator>
  <cp:lastModifiedBy>user</cp:lastModifiedBy>
  <cp:lastPrinted>2021-03-25T11:19:00Z</cp:lastPrinted>
  <dcterms:modified xsi:type="dcterms:W3CDTF">2022-06-06T11:17:56Z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769DF0BCC2F4420183B7D63CA796BF94</vt:lpwstr>
  </property>
</Properties>
</file>