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hint="eastAsia" w:ascii="黑体" w:hAnsi="黑体" w:eastAsia="黑体" w:cs="黑体"/>
          <w:color w:val="000000"/>
          <w:sz w:val="32"/>
          <w:szCs w:val="32"/>
        </w:rPr>
      </w:pPr>
      <w:r>
        <w:rPr>
          <w:rFonts w:hint="eastAsia" w:ascii="黑体" w:hAnsi="黑体" w:eastAsia="黑体" w:cs="黑体"/>
          <w:color w:val="000000"/>
          <w:sz w:val="32"/>
          <w:szCs w:val="32"/>
        </w:rPr>
        <w:t>重庆市橡胶密封制品产品质量监督抽查实施细则（2021年）</w:t>
      </w:r>
    </w:p>
    <w:p>
      <w:pPr>
        <w:snapToGrid w:val="0"/>
        <w:spacing w:line="360" w:lineRule="auto"/>
        <w:jc w:val="left"/>
        <w:rPr>
          <w:rFonts w:hint="eastAsia" w:ascii="方正小标宋简体" w:hAnsi="仿宋" w:eastAsia="方正小标宋简体" w:cs="方正仿宋简体"/>
          <w:color w:val="000000"/>
          <w:szCs w:val="21"/>
        </w:rPr>
      </w:pPr>
    </w:p>
    <w:p>
      <w:pPr>
        <w:snapToGrid w:val="0"/>
        <w:spacing w:line="360" w:lineRule="auto"/>
        <w:jc w:val="left"/>
        <w:rPr>
          <w:rFonts w:hint="eastAsia" w:ascii="黑体" w:hAnsi="宋体" w:eastAsia="黑体"/>
          <w:color w:val="000000"/>
          <w:szCs w:val="21"/>
        </w:rPr>
      </w:pPr>
      <w:r>
        <w:rPr>
          <w:rFonts w:hint="eastAsia" w:ascii="黑体" w:hAnsi="宋体" w:eastAsia="黑体"/>
          <w:color w:val="000000"/>
          <w:szCs w:val="21"/>
        </w:rPr>
        <w:t>1 抽样方法</w:t>
      </w:r>
    </w:p>
    <w:p>
      <w:pPr>
        <w:snapToGrid w:val="0"/>
        <w:spacing w:line="360" w:lineRule="auto"/>
        <w:ind w:firstLine="420" w:firstLineChars="200"/>
        <w:jc w:val="left"/>
        <w:rPr>
          <w:rFonts w:hint="eastAsia" w:ascii="宋体" w:hAnsi="宋体"/>
          <w:color w:val="000000"/>
          <w:szCs w:val="21"/>
        </w:rPr>
      </w:pPr>
      <w:r>
        <w:rPr>
          <w:rFonts w:hint="eastAsia" w:ascii="宋体" w:hAnsi="宋体"/>
          <w:color w:val="000000"/>
          <w:szCs w:val="21"/>
        </w:rPr>
        <w:t>在生产者的待销产品中随机抽取有产品质量检验合格证明或者以其他形式表明合格的、近期生产的产品。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szCs w:val="21"/>
        </w:rPr>
      </w:pPr>
      <w:r>
        <w:rPr>
          <w:rFonts w:hint="eastAsia" w:ascii="宋体" w:hAnsi="宋体"/>
          <w:szCs w:val="21"/>
        </w:rPr>
        <w:t>抽取样品应为同一生产者按照同一标准生产的、同一商标、同一规格型号、同一配方且经检验合格的混炼胶，</w:t>
      </w:r>
      <w:r>
        <w:rPr>
          <w:rFonts w:hint="eastAsia" w:ascii="宋体" w:hAnsi="宋体"/>
          <w:szCs w:val="21"/>
          <w:lang w:val="en-US" w:eastAsia="zh-CN"/>
        </w:rPr>
        <w:t>并</w:t>
      </w:r>
      <w:r>
        <w:rPr>
          <w:rFonts w:hint="eastAsia" w:ascii="宋体" w:hAnsi="宋体"/>
          <w:szCs w:val="21"/>
        </w:rPr>
        <w:t>由受检企业按照成品硫化条件硫化为胶片（厚度为2mm±0.2mm，长200mm×宽200mm）及圆柱体样品（直径为13.0mm±0.5mm，高度为6.3mm±0.3mm）。抽取胶片12片，其中6片作为检验样品，6片作为备用样品；抽取圆柱体样品18个，其中9个作为检验样品，9个</w:t>
      </w:r>
      <w:r>
        <w:rPr>
          <w:rFonts w:hint="eastAsia" w:ascii="宋体" w:hAnsi="宋体"/>
          <w:szCs w:val="21"/>
          <w:lang w:val="en-US" w:eastAsia="zh-CN"/>
        </w:rPr>
        <w:t>作</w:t>
      </w:r>
      <w:r>
        <w:rPr>
          <w:rFonts w:hint="eastAsia" w:ascii="宋体" w:hAnsi="宋体"/>
          <w:szCs w:val="21"/>
        </w:rPr>
        <w:t>为备用样品。随机</w:t>
      </w:r>
      <w:bookmarkStart w:id="0" w:name="_GoBack"/>
      <w:r>
        <w:rPr>
          <w:rFonts w:hint="eastAsia" w:ascii="宋体" w:hAnsi="宋体"/>
          <w:szCs w:val="21"/>
        </w:rPr>
        <w:t>数一般可使用随机数表、随机数骰子或扑</w:t>
      </w:r>
      <w:bookmarkEnd w:id="0"/>
      <w:r>
        <w:rPr>
          <w:rFonts w:hint="eastAsia" w:ascii="宋体" w:hAnsi="宋体"/>
          <w:szCs w:val="21"/>
        </w:rPr>
        <w:t>克牌等方法产生。</w:t>
      </w:r>
    </w:p>
    <w:p>
      <w:pPr>
        <w:snapToGrid w:val="0"/>
        <w:spacing w:line="440" w:lineRule="exact"/>
        <w:rPr>
          <w:rFonts w:hint="eastAsia" w:ascii="黑体" w:hAnsi="宋体" w:eastAsia="黑体"/>
          <w:color w:val="000000"/>
          <w:szCs w:val="21"/>
        </w:rPr>
      </w:pPr>
    </w:p>
    <w:p>
      <w:pPr>
        <w:snapToGrid w:val="0"/>
        <w:spacing w:line="440" w:lineRule="exact"/>
        <w:rPr>
          <w:rFonts w:hint="eastAsia"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hint="eastAsia" w:ascii="宋体" w:hAnsi="宋体"/>
          <w:color w:val="000000"/>
          <w:szCs w:val="21"/>
        </w:rPr>
      </w:pPr>
      <w:r>
        <w:rPr>
          <w:rFonts w:hint="eastAsia" w:ascii="宋体" w:hAnsi="宋体"/>
          <w:color w:val="000000"/>
          <w:szCs w:val="21"/>
        </w:rPr>
        <w:t>表1 液压系统用</w:t>
      </w:r>
      <w:r>
        <w:rPr>
          <w:rFonts w:ascii="宋体" w:hAnsi="宋体"/>
          <w:color w:val="000000"/>
          <w:szCs w:val="21"/>
        </w:rPr>
        <w:t>O</w:t>
      </w:r>
      <w:r>
        <w:rPr>
          <w:rFonts w:hint="eastAsia" w:ascii="宋体" w:hAnsi="宋体"/>
          <w:color w:val="000000"/>
          <w:szCs w:val="21"/>
        </w:rPr>
        <w:t>形橡胶密封圈材料检验项目</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2400"/>
        <w:gridCol w:w="2490"/>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blHeader/>
          <w:jc w:val="center"/>
        </w:trPr>
        <w:tc>
          <w:tcPr>
            <w:tcW w:w="1179"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序号</w:t>
            </w:r>
          </w:p>
        </w:tc>
        <w:tc>
          <w:tcPr>
            <w:tcW w:w="240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检验项目</w:t>
            </w:r>
          </w:p>
        </w:tc>
        <w:tc>
          <w:tcPr>
            <w:tcW w:w="249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判定依据</w:t>
            </w:r>
          </w:p>
        </w:tc>
        <w:tc>
          <w:tcPr>
            <w:tcW w:w="2516"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179"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1</w:t>
            </w:r>
          </w:p>
        </w:tc>
        <w:tc>
          <w:tcPr>
            <w:tcW w:w="240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硬度（邵尔A）</w:t>
            </w:r>
          </w:p>
        </w:tc>
        <w:tc>
          <w:tcPr>
            <w:tcW w:w="249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HG/T 2579-2008</w:t>
            </w:r>
          </w:p>
        </w:tc>
        <w:tc>
          <w:tcPr>
            <w:tcW w:w="2516"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179"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2</w:t>
            </w:r>
          </w:p>
        </w:tc>
        <w:tc>
          <w:tcPr>
            <w:tcW w:w="240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拉伸强度</w:t>
            </w:r>
          </w:p>
        </w:tc>
        <w:tc>
          <w:tcPr>
            <w:tcW w:w="249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HG/T 2579-2008</w:t>
            </w:r>
          </w:p>
        </w:tc>
        <w:tc>
          <w:tcPr>
            <w:tcW w:w="2516"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179"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3</w:t>
            </w:r>
          </w:p>
        </w:tc>
        <w:tc>
          <w:tcPr>
            <w:tcW w:w="240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扯断伸长率</w:t>
            </w:r>
          </w:p>
        </w:tc>
        <w:tc>
          <w:tcPr>
            <w:tcW w:w="249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HG/T 2579-2008</w:t>
            </w:r>
          </w:p>
        </w:tc>
        <w:tc>
          <w:tcPr>
            <w:tcW w:w="2516"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179"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4</w:t>
            </w:r>
          </w:p>
        </w:tc>
        <w:tc>
          <w:tcPr>
            <w:tcW w:w="240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热空气老化试验</w:t>
            </w:r>
          </w:p>
        </w:tc>
        <w:tc>
          <w:tcPr>
            <w:tcW w:w="249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HG/T 2579-2008</w:t>
            </w:r>
          </w:p>
        </w:tc>
        <w:tc>
          <w:tcPr>
            <w:tcW w:w="2516"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179"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5</w:t>
            </w:r>
          </w:p>
        </w:tc>
        <w:tc>
          <w:tcPr>
            <w:tcW w:w="240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耐液体</w:t>
            </w:r>
          </w:p>
        </w:tc>
        <w:tc>
          <w:tcPr>
            <w:tcW w:w="249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HG/T 2579-2008</w:t>
            </w:r>
          </w:p>
        </w:tc>
        <w:tc>
          <w:tcPr>
            <w:tcW w:w="2516"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179"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6</w:t>
            </w:r>
          </w:p>
        </w:tc>
        <w:tc>
          <w:tcPr>
            <w:tcW w:w="240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压缩永久变形</w:t>
            </w:r>
          </w:p>
        </w:tc>
        <w:tc>
          <w:tcPr>
            <w:tcW w:w="249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HG/T 2579-2008</w:t>
            </w:r>
          </w:p>
        </w:tc>
        <w:tc>
          <w:tcPr>
            <w:tcW w:w="2516"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179"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7</w:t>
            </w:r>
          </w:p>
        </w:tc>
        <w:tc>
          <w:tcPr>
            <w:tcW w:w="240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脆性温度</w:t>
            </w:r>
          </w:p>
        </w:tc>
        <w:tc>
          <w:tcPr>
            <w:tcW w:w="249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HG/T 2579-2008</w:t>
            </w:r>
          </w:p>
        </w:tc>
        <w:tc>
          <w:tcPr>
            <w:tcW w:w="2516"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GB/T 1682-2014</w:t>
            </w:r>
          </w:p>
        </w:tc>
      </w:tr>
    </w:tbl>
    <w:p>
      <w:pPr>
        <w:snapToGrid w:val="0"/>
        <w:spacing w:line="440" w:lineRule="exact"/>
        <w:jc w:val="center"/>
        <w:rPr>
          <w:rFonts w:hint="eastAsia" w:ascii="宋体" w:hAnsi="宋体"/>
          <w:color w:val="000000"/>
          <w:szCs w:val="21"/>
        </w:rPr>
      </w:pPr>
    </w:p>
    <w:p>
      <w:pPr>
        <w:snapToGrid w:val="0"/>
        <w:spacing w:line="440" w:lineRule="exact"/>
        <w:jc w:val="center"/>
        <w:rPr>
          <w:rFonts w:hint="eastAsia" w:ascii="宋体" w:hAnsi="宋体"/>
          <w:color w:val="000000"/>
          <w:szCs w:val="21"/>
        </w:rPr>
      </w:pPr>
      <w:r>
        <w:rPr>
          <w:rFonts w:hint="eastAsia" w:ascii="宋体" w:hAnsi="宋体"/>
          <w:color w:val="000000"/>
          <w:szCs w:val="21"/>
        </w:rPr>
        <w:t>表2   旋转轴唇形密封圈橡胶材料检验项目</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2410"/>
        <w:gridCol w:w="2409"/>
        <w:gridCol w:w="2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185"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序号</w:t>
            </w:r>
          </w:p>
        </w:tc>
        <w:tc>
          <w:tcPr>
            <w:tcW w:w="2410"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检验项目</w:t>
            </w:r>
          </w:p>
        </w:tc>
        <w:tc>
          <w:tcPr>
            <w:tcW w:w="2409"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判定依据</w:t>
            </w:r>
          </w:p>
        </w:tc>
        <w:tc>
          <w:tcPr>
            <w:tcW w:w="2487" w:type="dxa"/>
            <w:noWrap w:val="0"/>
            <w:vAlign w:val="center"/>
          </w:tcPr>
          <w:p>
            <w:pPr>
              <w:spacing w:line="360" w:lineRule="auto"/>
              <w:jc w:val="center"/>
              <w:rPr>
                <w:rFonts w:hint="eastAsia"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185"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1</w:t>
            </w:r>
          </w:p>
        </w:tc>
        <w:tc>
          <w:tcPr>
            <w:tcW w:w="241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硬度</w:t>
            </w:r>
          </w:p>
        </w:tc>
        <w:tc>
          <w:tcPr>
            <w:tcW w:w="2409"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HG/T 2811-1996</w:t>
            </w:r>
          </w:p>
        </w:tc>
        <w:tc>
          <w:tcPr>
            <w:tcW w:w="2487" w:type="dxa"/>
            <w:noWrap w:val="0"/>
            <w:vAlign w:val="center"/>
          </w:tcPr>
          <w:p>
            <w:pPr>
              <w:tabs>
                <w:tab w:val="left" w:pos="0"/>
              </w:tabs>
              <w:jc w:val="center"/>
              <w:rPr>
                <w:rFonts w:hint="eastAsia" w:ascii="宋体" w:hAnsi="宋体"/>
                <w:color w:val="000000"/>
                <w:szCs w:val="21"/>
              </w:rPr>
            </w:pPr>
            <w:r>
              <w:rPr>
                <w:rFonts w:ascii="Times New Roman" w:hAnsi="Times New Roman"/>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185"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2</w:t>
            </w:r>
          </w:p>
        </w:tc>
        <w:tc>
          <w:tcPr>
            <w:tcW w:w="241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拉伸强度</w:t>
            </w:r>
          </w:p>
        </w:tc>
        <w:tc>
          <w:tcPr>
            <w:tcW w:w="2409"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HG/T 2811-1996</w:t>
            </w:r>
          </w:p>
        </w:tc>
        <w:tc>
          <w:tcPr>
            <w:tcW w:w="2487" w:type="dxa"/>
            <w:noWrap w:val="0"/>
            <w:vAlign w:val="center"/>
          </w:tcPr>
          <w:p>
            <w:pPr>
              <w:tabs>
                <w:tab w:val="left" w:pos="0"/>
              </w:tabs>
              <w:jc w:val="center"/>
              <w:rPr>
                <w:rFonts w:hint="eastAsia" w:ascii="宋体" w:hAnsi="宋体"/>
                <w:color w:val="000000"/>
                <w:szCs w:val="21"/>
              </w:rPr>
            </w:pPr>
            <w:r>
              <w:rPr>
                <w:rFonts w:ascii="Times New Roman" w:hAnsi="Times New Roman"/>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185"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3</w:t>
            </w:r>
          </w:p>
        </w:tc>
        <w:tc>
          <w:tcPr>
            <w:tcW w:w="241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扯断伸长率</w:t>
            </w:r>
          </w:p>
        </w:tc>
        <w:tc>
          <w:tcPr>
            <w:tcW w:w="2409"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HG/T 2811-1996</w:t>
            </w:r>
          </w:p>
        </w:tc>
        <w:tc>
          <w:tcPr>
            <w:tcW w:w="2487" w:type="dxa"/>
            <w:noWrap w:val="0"/>
            <w:vAlign w:val="center"/>
          </w:tcPr>
          <w:p>
            <w:pPr>
              <w:tabs>
                <w:tab w:val="left" w:pos="0"/>
              </w:tabs>
              <w:jc w:val="center"/>
              <w:rPr>
                <w:rFonts w:hint="eastAsia" w:ascii="宋体" w:hAnsi="宋体"/>
                <w:color w:val="000000"/>
                <w:szCs w:val="21"/>
              </w:rPr>
            </w:pPr>
            <w:r>
              <w:rPr>
                <w:rFonts w:ascii="Times New Roman" w:hAnsi="Times New Roman"/>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185"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4</w:t>
            </w:r>
          </w:p>
        </w:tc>
        <w:tc>
          <w:tcPr>
            <w:tcW w:w="241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压缩永久变形</w:t>
            </w:r>
          </w:p>
        </w:tc>
        <w:tc>
          <w:tcPr>
            <w:tcW w:w="2409"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HG/T 2811-1996</w:t>
            </w:r>
          </w:p>
        </w:tc>
        <w:tc>
          <w:tcPr>
            <w:tcW w:w="2487" w:type="dxa"/>
            <w:noWrap w:val="0"/>
            <w:vAlign w:val="center"/>
          </w:tcPr>
          <w:p>
            <w:pPr>
              <w:tabs>
                <w:tab w:val="left" w:pos="0"/>
              </w:tabs>
              <w:jc w:val="center"/>
              <w:rPr>
                <w:rFonts w:hint="eastAsia" w:ascii="宋体" w:hAnsi="宋体"/>
                <w:color w:val="000000"/>
                <w:szCs w:val="21"/>
              </w:rPr>
            </w:pPr>
            <w:r>
              <w:rPr>
                <w:rFonts w:ascii="Times New Roman" w:hAnsi="Times New Roman"/>
                <w:szCs w:val="21"/>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185"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5</w:t>
            </w:r>
          </w:p>
        </w:tc>
        <w:tc>
          <w:tcPr>
            <w:tcW w:w="241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热空气老化试验</w:t>
            </w:r>
          </w:p>
        </w:tc>
        <w:tc>
          <w:tcPr>
            <w:tcW w:w="2409"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HG/T 2811-1996</w:t>
            </w:r>
          </w:p>
        </w:tc>
        <w:tc>
          <w:tcPr>
            <w:tcW w:w="2487" w:type="dxa"/>
            <w:noWrap w:val="0"/>
            <w:vAlign w:val="center"/>
          </w:tcPr>
          <w:p>
            <w:pPr>
              <w:tabs>
                <w:tab w:val="left" w:pos="0"/>
              </w:tabs>
              <w:jc w:val="center"/>
              <w:rPr>
                <w:rFonts w:hint="eastAsia" w:ascii="宋体" w:hAnsi="宋体"/>
                <w:color w:val="000000"/>
                <w:szCs w:val="21"/>
              </w:rPr>
            </w:pPr>
            <w:r>
              <w:rPr>
                <w:rFonts w:ascii="Times New Roman" w:hAnsi="Times New Roman"/>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5"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6</w:t>
            </w:r>
          </w:p>
        </w:tc>
        <w:tc>
          <w:tcPr>
            <w:tcW w:w="241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耐液体</w:t>
            </w:r>
          </w:p>
        </w:tc>
        <w:tc>
          <w:tcPr>
            <w:tcW w:w="2409"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HG/T 2811-1996</w:t>
            </w:r>
          </w:p>
        </w:tc>
        <w:tc>
          <w:tcPr>
            <w:tcW w:w="2487" w:type="dxa"/>
            <w:noWrap w:val="0"/>
            <w:vAlign w:val="center"/>
          </w:tcPr>
          <w:p>
            <w:pPr>
              <w:jc w:val="center"/>
              <w:rPr>
                <w:rFonts w:hint="eastAsia" w:ascii="宋体" w:hAnsi="宋体"/>
                <w:color w:val="000000"/>
                <w:szCs w:val="21"/>
              </w:rPr>
            </w:pPr>
            <w:r>
              <w:rPr>
                <w:rFonts w:ascii="Times New Roman" w:hAnsi="Times New Roman"/>
                <w:szCs w:val="21"/>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185"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7</w:t>
            </w:r>
          </w:p>
        </w:tc>
        <w:tc>
          <w:tcPr>
            <w:tcW w:w="241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脆性温度</w:t>
            </w:r>
          </w:p>
        </w:tc>
        <w:tc>
          <w:tcPr>
            <w:tcW w:w="2409"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HG/T 2811-1996</w:t>
            </w:r>
          </w:p>
        </w:tc>
        <w:tc>
          <w:tcPr>
            <w:tcW w:w="2487" w:type="dxa"/>
            <w:noWrap w:val="0"/>
            <w:vAlign w:val="center"/>
          </w:tcPr>
          <w:p>
            <w:pPr>
              <w:tabs>
                <w:tab w:val="left" w:pos="0"/>
                <w:tab w:val="left" w:pos="1863"/>
              </w:tabs>
              <w:jc w:val="center"/>
              <w:rPr>
                <w:rFonts w:hint="eastAsia" w:ascii="宋体" w:hAnsi="宋体"/>
                <w:color w:val="000000"/>
                <w:szCs w:val="21"/>
              </w:rPr>
            </w:pPr>
            <w:r>
              <w:rPr>
                <w:rFonts w:ascii="Times New Roman" w:hAnsi="Times New Roman"/>
                <w:szCs w:val="21"/>
              </w:rPr>
              <w:t>GB/T 1682-2014</w:t>
            </w:r>
          </w:p>
        </w:tc>
      </w:tr>
    </w:tbl>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凡是注日期的文件，其随后所有的修改单（不包括勘误的内容）或修订版不适用于本细则。</w:t>
      </w:r>
    </w:p>
    <w:p>
      <w:pPr>
        <w:spacing w:line="360" w:lineRule="auto"/>
        <w:rPr>
          <w:rFonts w:hint="eastAsia" w:ascii="黑体" w:hAnsi="黑体" w:eastAsia="黑体"/>
          <w:color w:val="000000"/>
          <w:szCs w:val="21"/>
        </w:rPr>
      </w:pPr>
    </w:p>
    <w:p>
      <w:pPr>
        <w:spacing w:line="360" w:lineRule="auto"/>
        <w:rPr>
          <w:rFonts w:hint="eastAsia"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HG/T 2579-2008 液压系统用O形橡胶密封圈材料</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HG/T 2811-1996 旋转轴唇形密封圈橡胶材料</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FF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BE4"/>
    <w:rsid w:val="00004627"/>
    <w:rsid w:val="00023327"/>
    <w:rsid w:val="000424FC"/>
    <w:rsid w:val="000447FF"/>
    <w:rsid w:val="00051A44"/>
    <w:rsid w:val="00053C03"/>
    <w:rsid w:val="0005646F"/>
    <w:rsid w:val="00061C85"/>
    <w:rsid w:val="00063BDA"/>
    <w:rsid w:val="00081CBD"/>
    <w:rsid w:val="00086669"/>
    <w:rsid w:val="00093814"/>
    <w:rsid w:val="000976DE"/>
    <w:rsid w:val="000B528E"/>
    <w:rsid w:val="000B6884"/>
    <w:rsid w:val="000D7D37"/>
    <w:rsid w:val="00126C01"/>
    <w:rsid w:val="00127168"/>
    <w:rsid w:val="0013236D"/>
    <w:rsid w:val="001435D7"/>
    <w:rsid w:val="00150844"/>
    <w:rsid w:val="00167D68"/>
    <w:rsid w:val="001809DD"/>
    <w:rsid w:val="001970B6"/>
    <w:rsid w:val="001B1904"/>
    <w:rsid w:val="001C5558"/>
    <w:rsid w:val="001C76E6"/>
    <w:rsid w:val="001D3674"/>
    <w:rsid w:val="001D4175"/>
    <w:rsid w:val="001F44C4"/>
    <w:rsid w:val="00200665"/>
    <w:rsid w:val="0021336B"/>
    <w:rsid w:val="00232530"/>
    <w:rsid w:val="00235F6B"/>
    <w:rsid w:val="002373C1"/>
    <w:rsid w:val="002433C5"/>
    <w:rsid w:val="00253624"/>
    <w:rsid w:val="00257264"/>
    <w:rsid w:val="0026477B"/>
    <w:rsid w:val="0027564E"/>
    <w:rsid w:val="00281D7E"/>
    <w:rsid w:val="00282AF9"/>
    <w:rsid w:val="002B60D3"/>
    <w:rsid w:val="002D7F8A"/>
    <w:rsid w:val="002E0D1D"/>
    <w:rsid w:val="003063BE"/>
    <w:rsid w:val="003203A3"/>
    <w:rsid w:val="00344398"/>
    <w:rsid w:val="003571E8"/>
    <w:rsid w:val="0036620B"/>
    <w:rsid w:val="00374815"/>
    <w:rsid w:val="003C388C"/>
    <w:rsid w:val="003D3FAC"/>
    <w:rsid w:val="003E61BF"/>
    <w:rsid w:val="003E7B40"/>
    <w:rsid w:val="0041013E"/>
    <w:rsid w:val="00426D50"/>
    <w:rsid w:val="004433B0"/>
    <w:rsid w:val="00445E86"/>
    <w:rsid w:val="004671E9"/>
    <w:rsid w:val="00474E04"/>
    <w:rsid w:val="004773A4"/>
    <w:rsid w:val="0048525A"/>
    <w:rsid w:val="004940A4"/>
    <w:rsid w:val="004A5A50"/>
    <w:rsid w:val="004A5AF9"/>
    <w:rsid w:val="004D0C5A"/>
    <w:rsid w:val="004D4398"/>
    <w:rsid w:val="004E1396"/>
    <w:rsid w:val="005007B4"/>
    <w:rsid w:val="00503879"/>
    <w:rsid w:val="00504B3F"/>
    <w:rsid w:val="005055FC"/>
    <w:rsid w:val="005105AD"/>
    <w:rsid w:val="00510EC2"/>
    <w:rsid w:val="00520FC3"/>
    <w:rsid w:val="00523D89"/>
    <w:rsid w:val="005309CE"/>
    <w:rsid w:val="005559B2"/>
    <w:rsid w:val="00563EBC"/>
    <w:rsid w:val="00577A4C"/>
    <w:rsid w:val="005A3733"/>
    <w:rsid w:val="005B0425"/>
    <w:rsid w:val="005C21CE"/>
    <w:rsid w:val="005C3573"/>
    <w:rsid w:val="005E218D"/>
    <w:rsid w:val="005E4D50"/>
    <w:rsid w:val="00651DB1"/>
    <w:rsid w:val="0065580E"/>
    <w:rsid w:val="00656483"/>
    <w:rsid w:val="00673EF9"/>
    <w:rsid w:val="006A56FE"/>
    <w:rsid w:val="006D7053"/>
    <w:rsid w:val="006E1171"/>
    <w:rsid w:val="006E651D"/>
    <w:rsid w:val="006F088A"/>
    <w:rsid w:val="006F0971"/>
    <w:rsid w:val="007116EC"/>
    <w:rsid w:val="00714FD9"/>
    <w:rsid w:val="00715E23"/>
    <w:rsid w:val="0072334C"/>
    <w:rsid w:val="0072480C"/>
    <w:rsid w:val="0073191F"/>
    <w:rsid w:val="00736363"/>
    <w:rsid w:val="00756BE5"/>
    <w:rsid w:val="00774D5E"/>
    <w:rsid w:val="00780A0E"/>
    <w:rsid w:val="0079755B"/>
    <w:rsid w:val="007C1FBE"/>
    <w:rsid w:val="007C2AF3"/>
    <w:rsid w:val="007D3AD4"/>
    <w:rsid w:val="007F782F"/>
    <w:rsid w:val="00802A8E"/>
    <w:rsid w:val="00820F6D"/>
    <w:rsid w:val="00824143"/>
    <w:rsid w:val="008324C5"/>
    <w:rsid w:val="008608A4"/>
    <w:rsid w:val="00871744"/>
    <w:rsid w:val="00873D0E"/>
    <w:rsid w:val="00875743"/>
    <w:rsid w:val="00893F19"/>
    <w:rsid w:val="00895BEA"/>
    <w:rsid w:val="008A3497"/>
    <w:rsid w:val="008C414D"/>
    <w:rsid w:val="008C4DF0"/>
    <w:rsid w:val="008D0AEB"/>
    <w:rsid w:val="008D1235"/>
    <w:rsid w:val="008E5EB9"/>
    <w:rsid w:val="008F3FAF"/>
    <w:rsid w:val="00900125"/>
    <w:rsid w:val="00917A54"/>
    <w:rsid w:val="0095179C"/>
    <w:rsid w:val="00955B94"/>
    <w:rsid w:val="00977347"/>
    <w:rsid w:val="009805ED"/>
    <w:rsid w:val="009838EC"/>
    <w:rsid w:val="0099444B"/>
    <w:rsid w:val="009B1EC2"/>
    <w:rsid w:val="009B36F6"/>
    <w:rsid w:val="009B4229"/>
    <w:rsid w:val="009B6588"/>
    <w:rsid w:val="009D3DED"/>
    <w:rsid w:val="009D6F18"/>
    <w:rsid w:val="009E4AF8"/>
    <w:rsid w:val="009E6765"/>
    <w:rsid w:val="00A00457"/>
    <w:rsid w:val="00A158F5"/>
    <w:rsid w:val="00A162F7"/>
    <w:rsid w:val="00A22755"/>
    <w:rsid w:val="00A2751C"/>
    <w:rsid w:val="00A361C8"/>
    <w:rsid w:val="00A43553"/>
    <w:rsid w:val="00A44812"/>
    <w:rsid w:val="00A551E1"/>
    <w:rsid w:val="00A62FD4"/>
    <w:rsid w:val="00A85030"/>
    <w:rsid w:val="00AC45F9"/>
    <w:rsid w:val="00AC5391"/>
    <w:rsid w:val="00AD7643"/>
    <w:rsid w:val="00AF7FA4"/>
    <w:rsid w:val="00B10A9F"/>
    <w:rsid w:val="00B22A51"/>
    <w:rsid w:val="00B33E6B"/>
    <w:rsid w:val="00B368F9"/>
    <w:rsid w:val="00B44347"/>
    <w:rsid w:val="00B51A7E"/>
    <w:rsid w:val="00B51EBC"/>
    <w:rsid w:val="00B70068"/>
    <w:rsid w:val="00B7730A"/>
    <w:rsid w:val="00BA7C8F"/>
    <w:rsid w:val="00BF2B8C"/>
    <w:rsid w:val="00BF48BD"/>
    <w:rsid w:val="00C06823"/>
    <w:rsid w:val="00C26074"/>
    <w:rsid w:val="00C342EE"/>
    <w:rsid w:val="00C531F1"/>
    <w:rsid w:val="00C745E9"/>
    <w:rsid w:val="00C83B0A"/>
    <w:rsid w:val="00C97B71"/>
    <w:rsid w:val="00CE1E0C"/>
    <w:rsid w:val="00CE277E"/>
    <w:rsid w:val="00D002EF"/>
    <w:rsid w:val="00D069E6"/>
    <w:rsid w:val="00D2686D"/>
    <w:rsid w:val="00D3196A"/>
    <w:rsid w:val="00D35CFB"/>
    <w:rsid w:val="00D47964"/>
    <w:rsid w:val="00D54112"/>
    <w:rsid w:val="00D56867"/>
    <w:rsid w:val="00D669FF"/>
    <w:rsid w:val="00D84F24"/>
    <w:rsid w:val="00D91CF5"/>
    <w:rsid w:val="00D94978"/>
    <w:rsid w:val="00DB0453"/>
    <w:rsid w:val="00DC5CB4"/>
    <w:rsid w:val="00DD3104"/>
    <w:rsid w:val="00DD753B"/>
    <w:rsid w:val="00DE7094"/>
    <w:rsid w:val="00DF0085"/>
    <w:rsid w:val="00DF5FD3"/>
    <w:rsid w:val="00E02A7F"/>
    <w:rsid w:val="00E06CD4"/>
    <w:rsid w:val="00E07880"/>
    <w:rsid w:val="00E07FE3"/>
    <w:rsid w:val="00E13376"/>
    <w:rsid w:val="00E41047"/>
    <w:rsid w:val="00E60E54"/>
    <w:rsid w:val="00E63C6E"/>
    <w:rsid w:val="00E647FB"/>
    <w:rsid w:val="00E82621"/>
    <w:rsid w:val="00EA1482"/>
    <w:rsid w:val="00EA2BD4"/>
    <w:rsid w:val="00EB0DD7"/>
    <w:rsid w:val="00EE02B1"/>
    <w:rsid w:val="00F075BA"/>
    <w:rsid w:val="00F34B2A"/>
    <w:rsid w:val="00F4532B"/>
    <w:rsid w:val="00F5529D"/>
    <w:rsid w:val="00F71996"/>
    <w:rsid w:val="00F72695"/>
    <w:rsid w:val="00F77C9A"/>
    <w:rsid w:val="00FA2E1F"/>
    <w:rsid w:val="00FB2029"/>
    <w:rsid w:val="00FB576C"/>
    <w:rsid w:val="00FD2AA6"/>
    <w:rsid w:val="00FD32FC"/>
    <w:rsid w:val="00FE7E8A"/>
    <w:rsid w:val="00FF2DE9"/>
    <w:rsid w:val="00FF6189"/>
    <w:rsid w:val="074B495B"/>
    <w:rsid w:val="0A2741A7"/>
    <w:rsid w:val="0C090CBC"/>
    <w:rsid w:val="0C3728E1"/>
    <w:rsid w:val="15533420"/>
    <w:rsid w:val="164F1620"/>
    <w:rsid w:val="17072EC5"/>
    <w:rsid w:val="190D1EF8"/>
    <w:rsid w:val="1B400016"/>
    <w:rsid w:val="1FD22E26"/>
    <w:rsid w:val="222A77CA"/>
    <w:rsid w:val="22C84B67"/>
    <w:rsid w:val="240F7C23"/>
    <w:rsid w:val="2AEE29B8"/>
    <w:rsid w:val="2B8B1FD5"/>
    <w:rsid w:val="2FB82A84"/>
    <w:rsid w:val="304A0BEF"/>
    <w:rsid w:val="31D31E68"/>
    <w:rsid w:val="32DF0121"/>
    <w:rsid w:val="34C00313"/>
    <w:rsid w:val="3AFA21E0"/>
    <w:rsid w:val="3F002802"/>
    <w:rsid w:val="446E3D78"/>
    <w:rsid w:val="447502D7"/>
    <w:rsid w:val="44F74371"/>
    <w:rsid w:val="463D158C"/>
    <w:rsid w:val="474A3858"/>
    <w:rsid w:val="49087A49"/>
    <w:rsid w:val="4A40079F"/>
    <w:rsid w:val="4B655EC5"/>
    <w:rsid w:val="4B8D4724"/>
    <w:rsid w:val="50206F6E"/>
    <w:rsid w:val="508A068E"/>
    <w:rsid w:val="53D54C02"/>
    <w:rsid w:val="553624FE"/>
    <w:rsid w:val="571C40B9"/>
    <w:rsid w:val="5B1142B8"/>
    <w:rsid w:val="5C146005"/>
    <w:rsid w:val="5CA975F9"/>
    <w:rsid w:val="5CFA56C7"/>
    <w:rsid w:val="5E2321AC"/>
    <w:rsid w:val="61E3141D"/>
    <w:rsid w:val="620D64CD"/>
    <w:rsid w:val="65A21742"/>
    <w:rsid w:val="6B896AEA"/>
    <w:rsid w:val="78296CFA"/>
    <w:rsid w:val="782B592E"/>
    <w:rsid w:val="784A2C85"/>
    <w:rsid w:val="797F1C8E"/>
    <w:rsid w:val="7B707165"/>
    <w:rsid w:val="7BF945CA"/>
    <w:rsid w:val="7CD612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unhideWhenUsed/>
    <w:uiPriority w:val="99"/>
    <w:tblPr>
      <w:tblCellMar>
        <w:top w:w="0" w:type="dxa"/>
        <w:left w:w="108" w:type="dxa"/>
        <w:bottom w:w="0" w:type="dxa"/>
        <w:right w:w="108" w:type="dxa"/>
      </w:tblCellMar>
    </w:tblPr>
  </w:style>
  <w:style w:type="paragraph" w:styleId="2">
    <w:name w:val="Body Text Indent"/>
    <w:basedOn w:val="1"/>
    <w:uiPriority w:val="0"/>
    <w:pPr>
      <w:spacing w:line="360" w:lineRule="auto"/>
      <w:ind w:firstLine="480" w:firstLineChars="200"/>
    </w:pPr>
    <w:rPr>
      <w:rFonts w:ascii="宋体" w:hAnsi="宋体"/>
      <w:sz w:val="24"/>
    </w:rPr>
  </w:style>
  <w:style w:type="paragraph" w:styleId="3">
    <w:name w:val="Balloon Text"/>
    <w:basedOn w:val="1"/>
    <w:link w:val="12"/>
    <w:unhideWhenUsed/>
    <w:uiPriority w:val="99"/>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iPriority w:val="0"/>
  </w:style>
  <w:style w:type="character" w:customStyle="1" w:styleId="10">
    <w:name w:val="页脚 字符"/>
    <w:link w:val="4"/>
    <w:qFormat/>
    <w:uiPriority w:val="99"/>
    <w:rPr>
      <w:kern w:val="2"/>
      <w:sz w:val="18"/>
      <w:szCs w:val="18"/>
    </w:rPr>
  </w:style>
  <w:style w:type="character" w:customStyle="1" w:styleId="11">
    <w:name w:val="页眉 字符"/>
    <w:link w:val="5"/>
    <w:semiHidden/>
    <w:uiPriority w:val="99"/>
    <w:rPr>
      <w:kern w:val="2"/>
      <w:sz w:val="18"/>
      <w:szCs w:val="18"/>
    </w:rPr>
  </w:style>
  <w:style w:type="character" w:customStyle="1" w:styleId="12">
    <w:name w:val="批注框文本 字符"/>
    <w:link w:val="3"/>
    <w:semiHidden/>
    <w:qFormat/>
    <w:uiPriority w:val="99"/>
    <w:rPr>
      <w:kern w:val="2"/>
      <w:sz w:val="18"/>
      <w:szCs w:val="18"/>
    </w:rPr>
  </w:style>
  <w:style w:type="paragraph" w:customStyle="1" w:styleId="13">
    <w:name w:val="列出段落1"/>
    <w:basedOn w:val="1"/>
    <w:qFormat/>
    <w:uiPriority w:val="34"/>
    <w:pPr>
      <w:ind w:firstLine="420" w:firstLineChars="200"/>
    </w:pPr>
    <w:rPr>
      <w:rFonts w:ascii="Calibri" w:hAnsi="Calibri"/>
      <w:szCs w:val="22"/>
    </w:rPr>
  </w:style>
  <w:style w:type="paragraph" w:customStyle="1" w:styleId="14">
    <w:name w:val="列出段落11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213</Words>
  <Characters>1219</Characters>
  <Lines>10</Lines>
  <Paragraphs>2</Paragraphs>
  <TotalTime>8</TotalTime>
  <ScaleCrop>false</ScaleCrop>
  <LinksUpToDate>false</LinksUpToDate>
  <CharactersWithSpaces>1430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2020-01-06T04:47:00Z</dcterms:created>
  <dc:creator>Legend User</dc:creator>
  <cp:lastModifiedBy>Acostar</cp:lastModifiedBy>
  <cp:lastPrinted>2019-12-05T07:53:00Z</cp:lastPrinted>
  <dcterms:modified xsi:type="dcterms:W3CDTF">2021-04-07T10:07:59Z</dcterms:modified>
  <dc:title>××产品质量监督抽查实施细则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E5E53160997443B5896ADD2AA3807702</vt:lpwstr>
  </property>
  <property fmtid="{D5CDD505-2E9C-101B-9397-08002B2CF9AE}" pid="4" name="KSOSaveFontToCloudKey">
    <vt:lpwstr>705523681_btnclosed</vt:lpwstr>
  </property>
</Properties>
</file>