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重庆市璧山区消费者权益保护委员会</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（一）职能职责</w:t>
      </w:r>
    </w:p>
    <w:p>
      <w:pPr>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重庆市璧山区消费者权益保护委员会（以下简称“璧山区消委会”），是经重庆市璧山区人民政府批准，依法成立的对商品和服务进行社会监督、保护消费者合法权益的社会团体。</w:t>
      </w:r>
    </w:p>
    <w:p>
      <w:pPr>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璧山区消委会在重庆市璧山区人民政府领导下开展工作。重庆市璧山区市场监督管理局是本会的业务主管部门；璧山区消委会接受重庆市消委会的业务指导，在工作中与市场监督管理、文化和旅游发展委、住房和城乡建设委、教委、新闻等各部门保持密切联系，共同做好保护消费者合法权益工作。</w:t>
      </w:r>
    </w:p>
    <w:p>
      <w:pPr>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璧山区消委会按照《中华人民共和国消费者权益保护法》和《重庆市消费者权益保护条例》规定，履行下列职能：</w:t>
      </w:r>
    </w:p>
    <w:p>
      <w:pPr>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一是宣传保护消费者权益的法律、法规，开展消费教育，提高消费者依法维护合法权益的能力；二是向消费者提供消费信息和咨询服务，引导文明、健康、节约资源和保护环境的消费方式；三是参与或组织有关行政部门对商品和服务的质量、价格、卫生、安全、计量等进行监督、检查和测定；四是受理消费者的投诉，并对投诉事项进行调查，公平、公正调解消费纠纷；五是投诉事项涉及商品和服务质量问题的，提请鉴定部门鉴定，或者提出意见转有关行政部门和单位处理，必要时可以公布投诉情况和处理结果；六是就保护消费者合法权益的有关问题，向有关行政部门反映情况，提出建议；七是支持权益受损害的消费者提起诉讼，并提供法律援助；八是建立健全披露机制，对损害消费者合法权益的行为，通过大众传播媒介予以揭露、批评；九是对辖区内的消委会分会、投诉站、联络站等基层组织进行业务指导；十是法律、法规规定的其他职能。</w:t>
      </w:r>
    </w:p>
    <w:p>
      <w:pPr>
        <w:pStyle w:val="6"/>
        <w:shd w:val="clear" w:color="auto" w:fill="FFFFFF"/>
        <w:spacing w:before="0" w:beforeAutospacing="0" w:after="0" w:afterAutospacing="0" w:line="596" w:lineRule="exact"/>
        <w:ind w:firstLine="643" w:firstLineChars="200"/>
        <w:rPr>
          <w:rFonts w:hint="default" w:ascii="方正仿宋_GBK" w:hAnsi="楷体" w:eastAsia="方正仿宋_GBK" w:cs="楷体"/>
          <w:sz w:val="32"/>
          <w:szCs w:val="32"/>
        </w:rPr>
      </w:pPr>
      <w:r>
        <w:rPr>
          <w:rStyle w:val="10"/>
          <w:rFonts w:ascii="方正仿宋_GBK" w:hAnsi="楷体" w:eastAsia="方正仿宋_GBK" w:cs="楷体"/>
          <w:sz w:val="32"/>
          <w:szCs w:val="32"/>
          <w:shd w:val="clear" w:color="auto" w:fill="FFFFFF"/>
        </w:rPr>
        <w:t>（二）机构设置</w:t>
      </w:r>
    </w:p>
    <w:p>
      <w:pPr>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璧山区消委会无内设机构。</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spacing w:line="596" w:lineRule="exact"/>
        <w:ind w:firstLine="640"/>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133.61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收、支与2023年度相比，增加18.75万元，增长16.3%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政策性因素增支。</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132.5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与2023年度相比，增加18.75万元，增长16.</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政策性因素增支。</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132.5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1.11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132.5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与2023年度相比，增加18.75万元，增长16.</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政策性因素增支。</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132.5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rPr>
        <w:t xml:space="preserve"> </w:t>
      </w:r>
    </w:p>
    <w:p>
      <w:pPr>
        <w:pStyle w:val="11"/>
        <w:autoSpaceDE w:val="0"/>
        <w:spacing w:line="596" w:lineRule="exact"/>
        <w:ind w:firstLine="640"/>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楷体" w:eastAsia="方正仿宋_GBK" w:cs="楷体"/>
          <w:b/>
          <w:bCs/>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132.5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财政拨款收、支总计各增加18.75万元，增长16.</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政策性因素增支。</w:t>
      </w:r>
      <w:r>
        <w:rPr>
          <w:rFonts w:ascii="Times New Roman" w:hAnsi="Times New Roman" w:eastAsia="方正仿宋_GBK"/>
          <w:sz w:val="32"/>
          <w:szCs w:val="32"/>
        </w:rPr>
        <w:br w:type="textWrapping"/>
      </w:r>
      <w:r>
        <w:rPr>
          <w:rFonts w:ascii="楷体" w:hAnsi="楷体" w:eastAsia="楷体" w:cs="楷体"/>
          <w:b/>
          <w:bCs/>
          <w:sz w:val="32"/>
          <w:szCs w:val="32"/>
          <w:shd w:val="clear" w:color="auto" w:fill="FFFFFF"/>
        </w:rPr>
        <w:t xml:space="preserve">    </w:t>
      </w:r>
      <w:r>
        <w:rPr>
          <w:rFonts w:ascii="方正仿宋_GBK" w:hAnsi="楷体" w:eastAsia="方正仿宋_GBK" w:cs="楷体"/>
          <w:b/>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132.5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与2023年度相比，增加18.75万元，增长16.</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政策性因素增支。</w:t>
      </w:r>
      <w:r>
        <w:rPr>
          <w:rFonts w:hint="default" w:ascii="Times New Roman" w:hAnsi="Times New Roman" w:eastAsia="方正仿宋_GBK"/>
          <w:sz w:val="32"/>
          <w:szCs w:val="32"/>
          <w:shd w:val="clear" w:color="auto" w:fill="FFFFFF"/>
        </w:rPr>
        <w:t>较年初预算数增加11.28万元，增长9.3%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政策性因素增支。</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132.5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与2023年度相比，增加18.75万元，增长16.</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政策性因素增支。</w:t>
      </w:r>
      <w:r>
        <w:rPr>
          <w:rFonts w:hint="default" w:ascii="Times New Roman" w:hAnsi="Times New Roman" w:eastAsia="方正仿宋_GBK"/>
          <w:sz w:val="32"/>
          <w:szCs w:val="32"/>
          <w:shd w:val="clear" w:color="auto" w:fill="FFFFFF"/>
        </w:rPr>
        <w:t>较年初预算数增加11.28万元，增长9.3%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政策性因素增支。</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99.09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w:t>
      </w:r>
      <w:r>
        <w:rPr>
          <w:rFonts w:ascii="Times New Roman" w:hAnsi="Times New Roman" w:eastAsia="方正仿宋_GBK"/>
          <w:sz w:val="32"/>
          <w:szCs w:val="32"/>
          <w:shd w:val="clear" w:color="auto" w:fill="FFFFFF"/>
        </w:rPr>
        <w:t>8</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较年初预算数增加2.27万元，增长2.3%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政策性因素增支。</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）社会保障与就业支出</w:t>
      </w:r>
      <w:r>
        <w:rPr>
          <w:rFonts w:hint="default" w:ascii="Times New Roman" w:hAnsi="Times New Roman" w:eastAsia="方正仿宋_GBK"/>
          <w:sz w:val="32"/>
          <w:szCs w:val="32"/>
          <w:shd w:val="clear" w:color="auto" w:fill="FFFFFF"/>
        </w:rPr>
        <w:t>22.53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较年初预算数增加9.02万元，增长66.</w:t>
      </w:r>
      <w:r>
        <w:rPr>
          <w:rFonts w:ascii="Times New Roman" w:hAnsi="Times New Roman" w:eastAsia="方正仿宋_GBK"/>
          <w:sz w:val="32"/>
          <w:szCs w:val="32"/>
          <w:shd w:val="clear" w:color="auto" w:fill="FFFFFF"/>
        </w:rPr>
        <w:t>8</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，主要原因是追加了社会保障缴费。</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color w:val="FF0000"/>
          <w:sz w:val="32"/>
          <w:szCs w:val="32"/>
          <w:shd w:val="clear" w:color="auto" w:fill="FFFFFF"/>
        </w:rPr>
        <w:t xml:space="preserve"> </w:t>
      </w:r>
    </w:p>
    <w:p>
      <w:pPr>
        <w:pStyle w:val="11"/>
        <w:autoSpaceDE w:val="0"/>
        <w:spacing w:line="596" w:lineRule="exact"/>
        <w:ind w:firstLine="640"/>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132.5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123.63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与2023年度相比，增加17.99万元，增长17%</w:t>
      </w:r>
      <w:r>
        <w:rPr>
          <w:rFonts w:ascii="方正仿宋_GBK" w:hAnsi="方正仿宋_GBK" w:eastAsia="方正仿宋_GBK" w:cs="方正仿宋_GBK"/>
          <w:sz w:val="32"/>
          <w:szCs w:val="32"/>
          <w:shd w:val="clear" w:color="auto" w:fill="FFFFFF"/>
        </w:rPr>
        <w:t>，主要原因是</w:t>
      </w:r>
      <w:r>
        <w:rPr>
          <w:rFonts w:ascii="方正仿宋_GBK" w:eastAsia="方正仿宋_GBK" w:cs="宋体"/>
          <w:sz w:val="32"/>
          <w:szCs w:val="32"/>
        </w:rPr>
        <w:t>政策性因素增支。</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rPr>
        <w:t>基本工资、津贴补贴、奖金、机关事业单位基本养老保险缴费、职业年金缴费、住房公积金、其他工资福利支出、离休费、生活补助、奖励金、其他对个人和家庭的补助等。</w:t>
      </w:r>
    </w:p>
    <w:p>
      <w:pPr>
        <w:pStyle w:val="6"/>
        <w:spacing w:before="0" w:beforeAutospacing="0" w:after="0" w:afterAutospacing="0"/>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8.86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与2023年度相比，增加0.75万元，增长9.</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日常工作中需要的商品服务支出费用</w:t>
      </w:r>
      <w:r>
        <w:rPr>
          <w:rFonts w:ascii="Times New Roman" w:hAnsi="Times New Roman" w:eastAsia="方正仿宋_GBK"/>
          <w:sz w:val="32"/>
          <w:szCs w:val="32"/>
        </w:rPr>
        <w:t>增加。</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rPr>
        <w:t>办公费、印刷费、邮电费、差旅费、工会费用、其他商品服务支出等。</w:t>
      </w:r>
    </w:p>
    <w:p>
      <w:pPr>
        <w:pStyle w:val="6"/>
        <w:snapToGrid w:val="0"/>
        <w:spacing w:before="0" w:beforeAutospacing="0" w:after="0" w:afterAutospacing="0" w:line="596" w:lineRule="exact"/>
        <w:ind w:firstLine="643" w:firstLineChars="200"/>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w:t>
      </w:r>
      <w:r>
        <w:rPr>
          <w:rFonts w:ascii="Times New Roman" w:hAnsi="Times New Roman" w:eastAsia="方正仿宋_GBK"/>
          <w:sz w:val="32"/>
          <w:szCs w:val="32"/>
          <w:shd w:val="clear" w:color="auto" w:fill="FFFFFF"/>
        </w:rPr>
        <w:t>2024年度无政府性基金预算财政拨款收支。</w:t>
      </w:r>
    </w:p>
    <w:p>
      <w:pPr>
        <w:pStyle w:val="11"/>
        <w:autoSpaceDE w:val="0"/>
        <w:spacing w:line="596" w:lineRule="exact"/>
        <w:ind w:firstLine="640"/>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w:t>
      </w:r>
      <w:r>
        <w:rPr>
          <w:rFonts w:ascii="Times New Roman" w:hAnsi="Times New Roman" w:eastAsia="方正仿宋_GBK"/>
          <w:sz w:val="32"/>
          <w:szCs w:val="32"/>
          <w:shd w:val="clear" w:color="auto" w:fill="FFFFFF"/>
        </w:rPr>
        <w:t>2024年度无国有资本经营预算财政拨款支出。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spacing w:line="596" w:lineRule="exact"/>
        <w:ind w:firstLine="640"/>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202</w:t>
      </w:r>
      <w:r>
        <w:rPr>
          <w:rFonts w:ascii="Times New Roman" w:hAnsi="Times New Roman" w:eastAsia="方正仿宋_GBK"/>
          <w:sz w:val="32"/>
          <w:szCs w:val="32"/>
        </w:rPr>
        <w:t>4</w:t>
      </w:r>
      <w:r>
        <w:rPr>
          <w:rFonts w:hint="default" w:ascii="Times New Roman" w:hAnsi="Times New Roman" w:eastAsia="方正仿宋_GBK"/>
          <w:sz w:val="32"/>
          <w:szCs w:val="32"/>
        </w:rPr>
        <w:t>年本单位无“三公”经费支出。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202</w:t>
      </w:r>
      <w:r>
        <w:rPr>
          <w:rFonts w:ascii="Times New Roman" w:hAnsi="Times New Roman" w:eastAsia="方正仿宋_GBK"/>
          <w:sz w:val="32"/>
          <w:szCs w:val="32"/>
        </w:rPr>
        <w:t>4</w:t>
      </w:r>
      <w:r>
        <w:rPr>
          <w:rFonts w:hint="default" w:ascii="Times New Roman" w:hAnsi="Times New Roman" w:eastAsia="方正仿宋_GBK"/>
          <w:sz w:val="32"/>
          <w:szCs w:val="32"/>
        </w:rPr>
        <w:t>年本单位无“三公”经费支出。</w:t>
      </w:r>
    </w:p>
    <w:p>
      <w:pPr>
        <w:pStyle w:val="6"/>
        <w:snapToGrid w:val="0"/>
        <w:spacing w:before="0" w:beforeAutospacing="0" w:after="0" w:afterAutospacing="0" w:line="596" w:lineRule="exact"/>
        <w:ind w:firstLine="643" w:firstLineChars="200"/>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（二）“三公”经费分项支出情况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202</w:t>
      </w:r>
      <w:r>
        <w:rPr>
          <w:rFonts w:ascii="Times New Roman" w:hAnsi="Times New Roman" w:eastAsia="方正仿宋_GBK"/>
          <w:sz w:val="32"/>
          <w:szCs w:val="32"/>
        </w:rPr>
        <w:t>4</w:t>
      </w:r>
      <w:r>
        <w:rPr>
          <w:rFonts w:hint="default" w:ascii="Times New Roman" w:hAnsi="Times New Roman" w:eastAsia="方正仿宋_GBK"/>
          <w:sz w:val="32"/>
          <w:szCs w:val="32"/>
        </w:rPr>
        <w:t>年本单位无因公出国（境）费用支出。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202</w:t>
      </w:r>
      <w:r>
        <w:rPr>
          <w:rFonts w:ascii="Times New Roman" w:hAnsi="Times New Roman" w:eastAsia="方正仿宋_GBK"/>
          <w:sz w:val="32"/>
          <w:szCs w:val="32"/>
        </w:rPr>
        <w:t>4</w:t>
      </w:r>
      <w:r>
        <w:rPr>
          <w:rFonts w:hint="default" w:ascii="Times New Roman" w:hAnsi="Times New Roman" w:eastAsia="方正仿宋_GBK"/>
          <w:sz w:val="32"/>
          <w:szCs w:val="32"/>
        </w:rPr>
        <w:t>年本单位无因公出国（境）费用支出。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202</w:t>
      </w:r>
      <w:r>
        <w:rPr>
          <w:rFonts w:ascii="Times New Roman" w:hAnsi="Times New Roman" w:eastAsia="方正仿宋_GBK"/>
          <w:sz w:val="32"/>
          <w:szCs w:val="32"/>
        </w:rPr>
        <w:t>4</w:t>
      </w:r>
      <w:r>
        <w:rPr>
          <w:rFonts w:hint="default" w:ascii="Times New Roman" w:hAnsi="Times New Roman" w:eastAsia="方正仿宋_GBK"/>
          <w:sz w:val="32"/>
          <w:szCs w:val="32"/>
        </w:rPr>
        <w:t>年本单位无公务车购置费支出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202</w:t>
      </w:r>
      <w:r>
        <w:rPr>
          <w:rFonts w:ascii="Times New Roman" w:hAnsi="Times New Roman" w:eastAsia="方正仿宋_GBK"/>
          <w:sz w:val="32"/>
          <w:szCs w:val="32"/>
        </w:rPr>
        <w:t>4</w:t>
      </w:r>
      <w:r>
        <w:rPr>
          <w:rFonts w:hint="default" w:ascii="Times New Roman" w:hAnsi="Times New Roman" w:eastAsia="方正仿宋_GBK"/>
          <w:sz w:val="32"/>
          <w:szCs w:val="32"/>
        </w:rPr>
        <w:t>年本单位无公务车购置费支出</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公务车运行维护费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202</w:t>
      </w:r>
      <w:r>
        <w:rPr>
          <w:rFonts w:ascii="Times New Roman" w:hAnsi="Times New Roman" w:eastAsia="方正仿宋_GBK"/>
          <w:sz w:val="32"/>
          <w:szCs w:val="32"/>
        </w:rPr>
        <w:t>4</w:t>
      </w:r>
      <w:r>
        <w:rPr>
          <w:rFonts w:hint="default" w:ascii="Times New Roman" w:hAnsi="Times New Roman" w:eastAsia="方正仿宋_GBK"/>
          <w:sz w:val="32"/>
          <w:szCs w:val="32"/>
        </w:rPr>
        <w:t>年本单位无公务车运行维修费支出。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202</w:t>
      </w:r>
      <w:r>
        <w:rPr>
          <w:rFonts w:ascii="Times New Roman" w:hAnsi="Times New Roman" w:eastAsia="方正仿宋_GBK"/>
          <w:sz w:val="32"/>
          <w:szCs w:val="32"/>
        </w:rPr>
        <w:t>4</w:t>
      </w:r>
      <w:r>
        <w:rPr>
          <w:rFonts w:hint="default" w:ascii="Times New Roman" w:hAnsi="Times New Roman" w:eastAsia="方正仿宋_GBK"/>
          <w:sz w:val="32"/>
          <w:szCs w:val="32"/>
        </w:rPr>
        <w:t>年本单位无公务车运行维修费支出。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202</w:t>
      </w:r>
      <w:r>
        <w:rPr>
          <w:rFonts w:ascii="Times New Roman" w:hAnsi="Times New Roman" w:eastAsia="方正仿宋_GBK"/>
          <w:sz w:val="32"/>
          <w:szCs w:val="32"/>
        </w:rPr>
        <w:t>4</w:t>
      </w:r>
      <w:r>
        <w:rPr>
          <w:rFonts w:hint="default" w:ascii="Times New Roman" w:hAnsi="Times New Roman" w:eastAsia="方正仿宋_GBK"/>
          <w:sz w:val="32"/>
          <w:szCs w:val="32"/>
        </w:rPr>
        <w:t>年本单位无公务接待费用支出。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202</w:t>
      </w:r>
      <w:r>
        <w:rPr>
          <w:rFonts w:ascii="Times New Roman" w:hAnsi="Times New Roman" w:eastAsia="方正仿宋_GBK"/>
          <w:sz w:val="32"/>
          <w:szCs w:val="32"/>
        </w:rPr>
        <w:t>4</w:t>
      </w:r>
      <w:r>
        <w:rPr>
          <w:rFonts w:hint="default" w:ascii="Times New Roman" w:hAnsi="Times New Roman" w:eastAsia="方正仿宋_GBK"/>
          <w:sz w:val="32"/>
          <w:szCs w:val="32"/>
        </w:rPr>
        <w:t>年本单位无公务接待费用支出。</w:t>
      </w:r>
    </w:p>
    <w:p>
      <w:pPr>
        <w:pStyle w:val="11"/>
        <w:autoSpaceDE w:val="0"/>
        <w:spacing w:line="596" w:lineRule="exact"/>
        <w:ind w:firstLine="640"/>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6"/>
        <w:shd w:val="clear" w:color="auto" w:fill="FFFFFF"/>
        <w:spacing w:before="0" w:beforeAutospacing="0" w:after="0" w:afterAutospacing="0" w:line="596" w:lineRule="exact"/>
        <w:ind w:firstLine="643" w:firstLineChars="200"/>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仿宋_GB2312" w:hAnsi="仿宋" w:eastAsia="仿宋_GB2312"/>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0.37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与2023年度相比，减少0.09万元，下降19.</w:t>
      </w:r>
      <w:r>
        <w:rPr>
          <w:rFonts w:ascii="Times New Roman" w:hAnsi="Times New Roman" w:eastAsia="方正仿宋_GBK"/>
          <w:sz w:val="32"/>
          <w:szCs w:val="32"/>
          <w:shd w:val="clear" w:color="auto" w:fill="FFFFFF"/>
        </w:rPr>
        <w:t>6</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，主要原因是组织参加培训减少。本年度差旅费支出</w:t>
      </w:r>
      <w:r>
        <w:rPr>
          <w:rFonts w:hint="default" w:ascii="Times New Roman" w:hAnsi="Times New Roman" w:eastAsia="方正仿宋_GBK"/>
          <w:sz w:val="32"/>
          <w:szCs w:val="32"/>
          <w:shd w:val="clear" w:color="auto" w:fill="FFFFFF"/>
        </w:rPr>
        <w:t>0.6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与2023年度相比，增加0.12万元，增长25%</w:t>
      </w:r>
      <w:r>
        <w:rPr>
          <w:rFonts w:ascii="方正仿宋_GBK" w:hAnsi="方正仿宋_GBK" w:eastAsia="方正仿宋_GBK" w:cs="方正仿宋_GBK"/>
          <w:sz w:val="32"/>
          <w:szCs w:val="32"/>
          <w:shd w:val="clear" w:color="auto" w:fill="FFFFFF"/>
        </w:rPr>
        <w:t>，主要原因是</w:t>
      </w:r>
      <w:r>
        <w:rPr>
          <w:rFonts w:ascii="仿宋_GB2312" w:hAnsi="仿宋" w:eastAsia="仿宋_GB2312"/>
          <w:sz w:val="32"/>
          <w:szCs w:val="32"/>
        </w:rPr>
        <w:t>外出出差次数增加。</w:t>
      </w:r>
    </w:p>
    <w:p>
      <w:pPr>
        <w:pStyle w:val="11"/>
        <w:autoSpaceDE w:val="0"/>
        <w:spacing w:line="596" w:lineRule="exact"/>
        <w:ind w:firstLine="640"/>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按照部门决算列报口径，我单位不在机关运行经费统计范围之内。</w:t>
      </w:r>
    </w:p>
    <w:p>
      <w:pPr>
        <w:pStyle w:val="11"/>
        <w:autoSpaceDE w:val="0"/>
        <w:spacing w:line="596" w:lineRule="exact"/>
        <w:ind w:firstLine="640"/>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1"/>
        <w:autoSpaceDE w:val="0"/>
        <w:spacing w:line="596" w:lineRule="exact"/>
        <w:ind w:firstLine="640"/>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（四）政府采购支出情况说明</w:t>
      </w:r>
    </w:p>
    <w:p>
      <w:pPr>
        <w:pStyle w:val="12"/>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ind w:firstLine="640" w:firstLineChars="200"/>
        <w:jc w:val="both"/>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根据预算绩效管理要求，我单位对单位整体绩效开展了绩效自评。2024年度本单位无项目预算经费。</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（三）财政绩效评价情况</w:t>
      </w:r>
    </w:p>
    <w:p>
      <w:pPr>
        <w:pStyle w:val="14"/>
        <w:autoSpaceDE w:val="0"/>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autoSpaceDE w:val="0"/>
        <w:ind w:firstLine="640"/>
        <w:jc w:val="both"/>
        <w:rPr>
          <w:rStyle w:val="10"/>
          <w:rFonts w:ascii="方正仿宋_GBK" w:hAnsi="方正仿宋_GBK" w:eastAsia="方正仿宋_GBK" w:cs="方正仿宋_GBK"/>
          <w:b w:val="0"/>
          <w:sz w:val="32"/>
          <w:szCs w:val="32"/>
        </w:rPr>
      </w:pPr>
      <w:r>
        <w:rPr>
          <w:rStyle w:val="10"/>
          <w:rFonts w:hint="eastAsia" w:ascii="方正仿宋_GBK" w:hAnsi="方正仿宋_GBK" w:eastAsia="方正仿宋_GBK" w:cs="方正仿宋_GBK"/>
          <w:sz w:val="32"/>
          <w:szCs w:val="32"/>
        </w:rPr>
        <w:t>王芳  023-87383603</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重庆市璧山区消费者权益保护委员会</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132.50</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99.09</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132.50</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132.50</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133.61</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133.61</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重庆市璧山区消费者权益保护委员会</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132.50</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132.50</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2013850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bookmarkStart w:id="0" w:name="_GoBack"/>
      <w:bookmarkEnd w:id="0"/>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重庆市璧山区消费者权益保护委员会</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132.50</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132.50</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2013850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重庆市璧山区消费者权益保护委员会</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132.50</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132.50</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132.50</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重庆市璧山区消费者权益保护委员会</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132.50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132.50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7.02</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7.02</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重庆市璧山区消费者权益保护委员会</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120.77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123.63</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重庆市璧山区消费者权益保护委员会</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重庆市璧山区消费者权益保护委员会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重庆市璧山区消费者权益保护委员会</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0.37</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0.60</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12 -</w:t>
                </w:r>
                <w:r>
                  <w:rPr>
                    <w:rFonts w:hint="default"/>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7481C"/>
    <w:rsid w:val="004816A3"/>
    <w:rsid w:val="00486CFC"/>
    <w:rsid w:val="00491DDD"/>
    <w:rsid w:val="004F715E"/>
    <w:rsid w:val="00500131"/>
    <w:rsid w:val="0050537C"/>
    <w:rsid w:val="00550ABE"/>
    <w:rsid w:val="00623A85"/>
    <w:rsid w:val="00666C34"/>
    <w:rsid w:val="00770383"/>
    <w:rsid w:val="007819D4"/>
    <w:rsid w:val="007B419D"/>
    <w:rsid w:val="007B7C4B"/>
    <w:rsid w:val="007D3D39"/>
    <w:rsid w:val="009029CF"/>
    <w:rsid w:val="00984C6A"/>
    <w:rsid w:val="00994AF7"/>
    <w:rsid w:val="009B67B8"/>
    <w:rsid w:val="009C14C9"/>
    <w:rsid w:val="009D2B67"/>
    <w:rsid w:val="009E1452"/>
    <w:rsid w:val="00A566F9"/>
    <w:rsid w:val="00AF2751"/>
    <w:rsid w:val="00B03CCD"/>
    <w:rsid w:val="00BE2B89"/>
    <w:rsid w:val="00BF0D89"/>
    <w:rsid w:val="00C10E9E"/>
    <w:rsid w:val="00C20C3E"/>
    <w:rsid w:val="00C27C4F"/>
    <w:rsid w:val="00C5163E"/>
    <w:rsid w:val="00CF2ACF"/>
    <w:rsid w:val="00D03AAF"/>
    <w:rsid w:val="00D07B23"/>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2093B"/>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8379</Words>
  <Characters>10404</Characters>
  <Lines>89</Lines>
  <Paragraphs>25</Paragraphs>
  <TotalTime>41</TotalTime>
  <ScaleCrop>false</ScaleCrop>
  <LinksUpToDate>false</LinksUpToDate>
  <CharactersWithSpaces>10818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2025-09-01T01:20:47Z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