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0C0C" w14:textId="76A53279" w:rsidR="00AB1591" w:rsidRDefault="00AB1591" w:rsidP="00AB1591">
      <w:pPr>
        <w:spacing w:line="360" w:lineRule="auto"/>
        <w:jc w:val="center"/>
        <w:rPr>
          <w:rFonts w:ascii="SimHei" w:eastAsia="SimHei" w:hAnsi="SimHei" w:cs="SimHei"/>
          <w:bCs/>
          <w:sz w:val="36"/>
          <w:szCs w:val="36"/>
        </w:rPr>
      </w:pPr>
      <w:r>
        <w:rPr>
          <w:rFonts w:ascii="SimHei" w:eastAsia="SimHei" w:hAnsi="SimHei" w:cs="SimHei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440"/>
        <w:gridCol w:w="6495"/>
      </w:tblGrid>
      <w:tr w:rsidR="00AB1591" w14:paraId="2582B65E" w14:textId="77777777" w:rsidTr="009D1F61">
        <w:trPr>
          <w:trHeight w:val="674"/>
          <w:jc w:val="center"/>
        </w:trPr>
        <w:tc>
          <w:tcPr>
            <w:tcW w:w="1705" w:type="dxa"/>
            <w:shd w:val="clear" w:color="auto" w:fill="D9D9D9"/>
            <w:vAlign w:val="center"/>
          </w:tcPr>
          <w:p w14:paraId="02098584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/>
              </w:rPr>
            </w:pPr>
            <w:proofErr w:type="spellStart"/>
            <w:r>
              <w:rPr>
                <w:rFonts w:ascii="SimSun" w:hAnsi="SimSun" w:cs="SimSun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935" w:type="dxa"/>
            <w:gridSpan w:val="2"/>
            <w:vAlign w:val="center"/>
          </w:tcPr>
          <w:p w14:paraId="4253D798" w14:textId="48BF1888" w:rsidR="00AB1591" w:rsidRPr="00D210DE" w:rsidRDefault="00223E4E" w:rsidP="00D758F5">
            <w:pPr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/>
              </w:rPr>
            </w:pPr>
            <w:proofErr w:type="gramStart"/>
            <w:r w:rsidRPr="00223E4E">
              <w:rPr>
                <w:rFonts w:ascii="SimSun" w:hAnsi="SimSun" w:cs="SimSun"/>
                <w:bCs/>
                <w:color w:val="000000"/>
              </w:rPr>
              <w:t>思可源</w:t>
            </w:r>
            <w:proofErr w:type="gramEnd"/>
            <w:r w:rsidRPr="00223E4E">
              <w:rPr>
                <w:rFonts w:ascii="SimSun" w:hAnsi="SimSun" w:cs="SimSun"/>
                <w:bCs/>
                <w:color w:val="000000"/>
              </w:rPr>
              <w:t>（重庆）</w:t>
            </w:r>
            <w:r w:rsidR="00C455A5">
              <w:rPr>
                <w:rFonts w:ascii="SimSun" w:hAnsi="SimSun" w:cs="SimSun" w:hint="eastAsia"/>
                <w:bCs/>
                <w:color w:val="000000"/>
              </w:rPr>
              <w:t>控股</w:t>
            </w:r>
            <w:r w:rsidRPr="00223E4E">
              <w:rPr>
                <w:rFonts w:ascii="SimSun" w:hAnsi="SimSun" w:cs="SimSun"/>
                <w:bCs/>
                <w:color w:val="000000"/>
              </w:rPr>
              <w:t>有限公司</w:t>
            </w:r>
            <w:r w:rsidR="00E04201" w:rsidRPr="00E04201">
              <w:rPr>
                <w:rFonts w:ascii="SimSun" w:hAnsi="SimSun" w:cs="SimSun" w:hint="eastAsia"/>
                <w:bCs/>
                <w:color w:val="000000"/>
                <w:lang w:val="en-US"/>
              </w:rPr>
              <w:t>与重庆市环卫集团有限公司新设合营企业案</w:t>
            </w:r>
          </w:p>
        </w:tc>
      </w:tr>
      <w:tr w:rsidR="00AB1591" w14:paraId="7EA7C63F" w14:textId="77777777" w:rsidTr="009D1F61">
        <w:trPr>
          <w:trHeight w:val="1391"/>
          <w:jc w:val="center"/>
        </w:trPr>
        <w:tc>
          <w:tcPr>
            <w:tcW w:w="1705" w:type="dxa"/>
            <w:shd w:val="clear" w:color="auto" w:fill="D9D9D9"/>
            <w:vAlign w:val="center"/>
          </w:tcPr>
          <w:p w14:paraId="229AFDF4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935" w:type="dxa"/>
            <w:gridSpan w:val="2"/>
            <w:vAlign w:val="center"/>
          </w:tcPr>
          <w:p w14:paraId="2F377C49" w14:textId="6F64347A" w:rsidR="00641099" w:rsidRDefault="00223E4E" w:rsidP="00D758F5">
            <w:pPr>
              <w:widowControl w:val="0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</w:rPr>
            </w:pPr>
            <w:proofErr w:type="gramStart"/>
            <w:r w:rsidRPr="00223E4E">
              <w:rPr>
                <w:rFonts w:ascii="SimSun" w:hAnsi="SimSun" w:cs="SimSun"/>
                <w:bCs/>
                <w:color w:val="000000"/>
              </w:rPr>
              <w:t>思可源</w:t>
            </w:r>
            <w:proofErr w:type="gramEnd"/>
            <w:r w:rsidRPr="00223E4E">
              <w:rPr>
                <w:rFonts w:ascii="SimSun" w:hAnsi="SimSun" w:cs="SimSun"/>
                <w:bCs/>
                <w:color w:val="000000"/>
              </w:rPr>
              <w:t>（重庆）</w:t>
            </w:r>
            <w:r w:rsidR="00C455A5">
              <w:rPr>
                <w:rFonts w:ascii="SimSun" w:hAnsi="SimSun" w:cs="SimSun" w:hint="eastAsia"/>
                <w:bCs/>
                <w:color w:val="000000"/>
              </w:rPr>
              <w:t>控股</w:t>
            </w:r>
            <w:r w:rsidRPr="00223E4E">
              <w:rPr>
                <w:rFonts w:ascii="SimSun" w:hAnsi="SimSun" w:cs="SimSun"/>
                <w:bCs/>
                <w:color w:val="000000"/>
              </w:rPr>
              <w:t>有限公司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（“</w:t>
            </w:r>
            <w:r w:rsidR="00641099" w:rsidRPr="002B1443">
              <w:rPr>
                <w:rFonts w:ascii="SimSun" w:hAnsi="SimSun" w:cs="SimSun" w:hint="eastAsia"/>
                <w:b/>
                <w:color w:val="000000"/>
              </w:rPr>
              <w:t>思可源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”）与重庆市环卫集团有限公司（“</w:t>
            </w:r>
            <w:r w:rsidR="00641099" w:rsidRPr="002B1443">
              <w:rPr>
                <w:rFonts w:ascii="SimSun" w:hAnsi="SimSun" w:cs="SimSun" w:hint="eastAsia"/>
                <w:b/>
                <w:color w:val="000000"/>
              </w:rPr>
              <w:t>重庆环卫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”）</w:t>
            </w:r>
            <w:r w:rsidR="002B1443" w:rsidRPr="00641099">
              <w:rPr>
                <w:rFonts w:ascii="SimSun" w:hAnsi="SimSun" w:cs="SimSun" w:hint="eastAsia"/>
                <w:bCs/>
                <w:color w:val="000000"/>
              </w:rPr>
              <w:t>签署协议</w:t>
            </w:r>
            <w:r w:rsidR="002B1443">
              <w:rPr>
                <w:rFonts w:ascii="SimSun" w:hAnsi="SimSun" w:cs="SimSun" w:hint="eastAsia"/>
                <w:bCs/>
                <w:color w:val="000000"/>
              </w:rPr>
              <w:t>，拟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共同</w:t>
            </w:r>
            <w:r w:rsidR="001A7857">
              <w:rPr>
                <w:rFonts w:ascii="SimSun" w:hAnsi="SimSun" w:cs="SimSun" w:hint="eastAsia"/>
                <w:bCs/>
                <w:color w:val="000000"/>
              </w:rPr>
              <w:t>新设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一家合营企业（“</w:t>
            </w:r>
            <w:r w:rsidR="00641099" w:rsidRPr="002B1443">
              <w:rPr>
                <w:rFonts w:ascii="SimSun" w:hAnsi="SimSun" w:cs="SimSun" w:hint="eastAsia"/>
                <w:b/>
                <w:color w:val="000000"/>
              </w:rPr>
              <w:t>合营企业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”）。</w:t>
            </w:r>
            <w:r w:rsidR="001A7857" w:rsidRPr="00641099">
              <w:rPr>
                <w:rFonts w:ascii="SimSun" w:hAnsi="SimSun" w:cs="SimSun" w:hint="eastAsia"/>
                <w:bCs/>
                <w:color w:val="000000"/>
              </w:rPr>
              <w:t>合营企业将从事工业级混合油</w:t>
            </w:r>
            <w:r w:rsidR="00512D30">
              <w:rPr>
                <w:rFonts w:ascii="SimSun" w:hAnsi="SimSun" w:cs="SimSun" w:hint="eastAsia"/>
                <w:bCs/>
                <w:color w:val="000000"/>
              </w:rPr>
              <w:t>业务</w:t>
            </w:r>
            <w:r w:rsidR="001A7857">
              <w:rPr>
                <w:rFonts w:ascii="SimSun" w:hAnsi="SimSun" w:cs="SimSun" w:hint="eastAsia"/>
                <w:bCs/>
                <w:color w:val="000000"/>
              </w:rPr>
              <w:t>。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交易后，</w:t>
            </w:r>
            <w:proofErr w:type="gramStart"/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思可源</w:t>
            </w:r>
            <w:proofErr w:type="gramEnd"/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和重庆环卫将</w:t>
            </w:r>
            <w:r w:rsidR="001A7857">
              <w:rPr>
                <w:rFonts w:ascii="SimSun" w:hAnsi="SimSun" w:cs="SimSun" w:hint="eastAsia"/>
                <w:bCs/>
                <w:color w:val="000000"/>
              </w:rPr>
              <w:t>分别持有合营</w:t>
            </w:r>
            <w:r w:rsidR="001A7857" w:rsidRPr="001A7857">
              <w:rPr>
                <w:rFonts w:ascii="Arial" w:hAnsi="Arial" w:cs="Arial"/>
                <w:bCs/>
                <w:color w:val="000000"/>
              </w:rPr>
              <w:t>企业</w:t>
            </w:r>
            <w:r w:rsidR="001A7857" w:rsidRPr="001A7857">
              <w:rPr>
                <w:rFonts w:ascii="Arial" w:hAnsi="Arial" w:cs="Arial"/>
                <w:bCs/>
                <w:color w:val="000000"/>
              </w:rPr>
              <w:t>51%</w:t>
            </w:r>
            <w:r w:rsidR="001A7857" w:rsidRPr="001A7857">
              <w:rPr>
                <w:rFonts w:ascii="Arial" w:hAnsi="Arial" w:cs="Arial"/>
                <w:bCs/>
                <w:color w:val="000000"/>
              </w:rPr>
              <w:t>和</w:t>
            </w:r>
            <w:r w:rsidR="001A7857" w:rsidRPr="001A7857">
              <w:rPr>
                <w:rFonts w:ascii="Arial" w:hAnsi="Arial" w:cs="Arial"/>
                <w:bCs/>
                <w:color w:val="000000"/>
              </w:rPr>
              <w:t>49%</w:t>
            </w:r>
            <w:r w:rsidR="001A7857" w:rsidRPr="001A7857">
              <w:rPr>
                <w:rFonts w:ascii="Arial" w:hAnsi="Arial" w:cs="Arial"/>
                <w:bCs/>
                <w:color w:val="000000"/>
              </w:rPr>
              <w:t>的股权，</w:t>
            </w:r>
            <w:r w:rsidR="001A7857">
              <w:rPr>
                <w:rFonts w:ascii="SimSun" w:hAnsi="SimSun" w:cs="SimSun" w:hint="eastAsia"/>
                <w:bCs/>
                <w:color w:val="000000"/>
              </w:rPr>
              <w:t>并</w:t>
            </w:r>
            <w:r w:rsidR="00641099" w:rsidRPr="00641099">
              <w:rPr>
                <w:rFonts w:ascii="SimSun" w:hAnsi="SimSun" w:cs="SimSun" w:hint="eastAsia"/>
                <w:bCs/>
                <w:color w:val="000000"/>
              </w:rPr>
              <w:t>共同控制合营企业。</w:t>
            </w:r>
          </w:p>
        </w:tc>
      </w:tr>
      <w:tr w:rsidR="00AB1591" w14:paraId="31172F65" w14:textId="77777777" w:rsidTr="009D1F61">
        <w:trPr>
          <w:trHeight w:val="942"/>
          <w:jc w:val="center"/>
        </w:trPr>
        <w:tc>
          <w:tcPr>
            <w:tcW w:w="1705" w:type="dxa"/>
            <w:vMerge w:val="restart"/>
            <w:shd w:val="clear" w:color="auto" w:fill="D9D9D9"/>
            <w:vAlign w:val="center"/>
          </w:tcPr>
          <w:p w14:paraId="056D54E7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440" w:type="dxa"/>
            <w:vAlign w:val="center"/>
          </w:tcPr>
          <w:p w14:paraId="4E5ED8B1" w14:textId="2620F30E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1.</w:t>
            </w:r>
            <w:r w:rsidR="009A43C3"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思可源</w:t>
            </w:r>
          </w:p>
        </w:tc>
        <w:tc>
          <w:tcPr>
            <w:tcW w:w="6495" w:type="dxa"/>
            <w:vAlign w:val="center"/>
          </w:tcPr>
          <w:p w14:paraId="61395C53" w14:textId="77777777" w:rsidR="005A701D" w:rsidRDefault="009F4852" w:rsidP="00D758F5">
            <w:pPr>
              <w:widowControl w:val="0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</w:rPr>
            </w:pPr>
            <w:proofErr w:type="gramStart"/>
            <w:r w:rsidRPr="009F4852">
              <w:rPr>
                <w:rFonts w:ascii="SimSun" w:hAnsi="SimSun" w:cs="SimSun" w:hint="eastAsia"/>
                <w:bCs/>
                <w:color w:val="000000"/>
              </w:rPr>
              <w:t>思可源于</w:t>
            </w:r>
            <w:proofErr w:type="gramEnd"/>
            <w:r w:rsidRPr="00820978">
              <w:rPr>
                <w:rFonts w:ascii="Arial" w:hAnsi="Arial" w:cs="Arial"/>
                <w:bCs/>
                <w:color w:val="000000"/>
              </w:rPr>
              <w:t>2024</w:t>
            </w:r>
            <w:r w:rsidRPr="00820978">
              <w:rPr>
                <w:rFonts w:ascii="Arial" w:hAnsi="Arial" w:cs="Arial"/>
                <w:bCs/>
                <w:color w:val="000000"/>
              </w:rPr>
              <w:t>年</w:t>
            </w:r>
            <w:r w:rsidR="005220E0" w:rsidRPr="00820978">
              <w:rPr>
                <w:rFonts w:ascii="Arial" w:hAnsi="Arial" w:cs="Arial"/>
                <w:bCs/>
                <w:color w:val="000000"/>
              </w:rPr>
              <w:t>8</w:t>
            </w:r>
            <w:r w:rsidR="005220E0" w:rsidRPr="00820978">
              <w:rPr>
                <w:rFonts w:ascii="Arial" w:hAnsi="Arial" w:cs="Arial"/>
                <w:bCs/>
                <w:color w:val="000000"/>
              </w:rPr>
              <w:t>月</w:t>
            </w:r>
            <w:r w:rsidR="005220E0" w:rsidRPr="00820978">
              <w:rPr>
                <w:rFonts w:ascii="Arial" w:hAnsi="Arial" w:cs="Arial"/>
                <w:bCs/>
                <w:color w:val="000000"/>
              </w:rPr>
              <w:t>30</w:t>
            </w:r>
            <w:r w:rsidR="005220E0" w:rsidRPr="00820978">
              <w:rPr>
                <w:rFonts w:ascii="Arial" w:hAnsi="Arial" w:cs="Arial"/>
                <w:bCs/>
                <w:color w:val="000000"/>
              </w:rPr>
              <w:t>日</w:t>
            </w:r>
            <w:r w:rsidRPr="00820978">
              <w:rPr>
                <w:rFonts w:ascii="Arial" w:hAnsi="Arial" w:cs="Arial"/>
                <w:bCs/>
                <w:color w:val="000000"/>
              </w:rPr>
              <w:t>成立于</w:t>
            </w:r>
            <w:r w:rsidRPr="009F4852">
              <w:rPr>
                <w:rFonts w:ascii="SimSun" w:hAnsi="SimSun" w:cs="SimSun" w:hint="eastAsia"/>
                <w:bCs/>
                <w:color w:val="000000"/>
              </w:rPr>
              <w:t>重庆</w:t>
            </w:r>
            <w:r w:rsidR="005220E0">
              <w:rPr>
                <w:rFonts w:ascii="SimSun" w:hAnsi="SimSun" w:cs="SimSun" w:hint="eastAsia"/>
                <w:bCs/>
                <w:color w:val="000000"/>
              </w:rPr>
              <w:t>市</w:t>
            </w:r>
            <w:r w:rsidRPr="009F4852">
              <w:rPr>
                <w:rFonts w:ascii="SimSun" w:hAnsi="SimSun" w:cs="SimSun" w:hint="eastAsia"/>
                <w:bCs/>
                <w:color w:val="000000"/>
              </w:rPr>
              <w:t>，主要从事可持续航空燃料的生产</w:t>
            </w:r>
            <w:r w:rsidR="005220E0">
              <w:rPr>
                <w:rFonts w:ascii="SimSun" w:hAnsi="SimSun" w:cs="SimSun" w:hint="eastAsia"/>
                <w:bCs/>
                <w:color w:val="000000"/>
              </w:rPr>
              <w:t>。</w:t>
            </w:r>
          </w:p>
          <w:p w14:paraId="3E612D64" w14:textId="661C30D4" w:rsidR="00AB1591" w:rsidRDefault="00174563" w:rsidP="00D758F5">
            <w:pPr>
              <w:widowControl w:val="0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</w:rPr>
            </w:pPr>
            <w:proofErr w:type="gramStart"/>
            <w:r>
              <w:rPr>
                <w:rFonts w:ascii="SimSun" w:hAnsi="SimSun" w:cs="SimSun" w:hint="eastAsia"/>
                <w:bCs/>
                <w:color w:val="000000"/>
              </w:rPr>
              <w:t>思可源</w:t>
            </w:r>
            <w:bookmarkStart w:id="0" w:name="_Hlk204642907"/>
            <w:proofErr w:type="gramEnd"/>
            <w:r w:rsidR="005A701D">
              <w:rPr>
                <w:rFonts w:ascii="SimSun" w:hAnsi="SimSun" w:cs="SimSun" w:hint="eastAsia"/>
                <w:bCs/>
                <w:color w:val="000000"/>
              </w:rPr>
              <w:t>的最终控制人为</w:t>
            </w:r>
            <w:r>
              <w:rPr>
                <w:rFonts w:ascii="SimSun" w:hAnsi="SimSun" w:cs="SimSun" w:hint="eastAsia"/>
                <w:bCs/>
                <w:color w:val="000000"/>
              </w:rPr>
              <w:t>自然人</w:t>
            </w:r>
            <w:r w:rsidR="005A701D">
              <w:rPr>
                <w:rFonts w:ascii="SimSun" w:hAnsi="SimSun" w:cs="SimSun" w:hint="eastAsia"/>
                <w:bCs/>
                <w:color w:val="000000"/>
              </w:rPr>
              <w:t>和</w:t>
            </w:r>
            <w:r w:rsidR="005A701D" w:rsidRPr="005A701D">
              <w:rPr>
                <w:rFonts w:ascii="SimSun" w:hAnsi="SimSun" w:cs="SimSun" w:hint="eastAsia"/>
                <w:bCs/>
                <w:color w:val="000000"/>
              </w:rPr>
              <w:t>厦门建发集团有限公司</w:t>
            </w:r>
            <w:r w:rsidR="005A701D">
              <w:rPr>
                <w:rFonts w:ascii="SimSun" w:hAnsi="SimSun" w:cs="SimSun" w:hint="eastAsia"/>
                <w:bCs/>
                <w:color w:val="000000"/>
              </w:rPr>
              <w:t>。自然人的</w:t>
            </w:r>
            <w:r w:rsidR="005A701D" w:rsidRPr="005A701D">
              <w:rPr>
                <w:rFonts w:ascii="SimSun" w:hAnsi="SimSun" w:cs="SimSun" w:hint="eastAsia"/>
                <w:bCs/>
                <w:color w:val="000000"/>
              </w:rPr>
              <w:t>主要业务为股权投资</w:t>
            </w:r>
            <w:r w:rsidR="005A701D">
              <w:rPr>
                <w:rFonts w:ascii="SimSun" w:hAnsi="SimSun" w:cs="SimSun" w:hint="eastAsia"/>
                <w:bCs/>
                <w:color w:val="000000"/>
              </w:rPr>
              <w:t>，</w:t>
            </w:r>
            <w:r w:rsidR="005A701D" w:rsidRPr="005A701D">
              <w:rPr>
                <w:rFonts w:ascii="SimSun" w:hAnsi="SimSun" w:cs="SimSun" w:hint="eastAsia"/>
                <w:bCs/>
                <w:color w:val="000000"/>
              </w:rPr>
              <w:t>厦门建发集团有限公司</w:t>
            </w:r>
            <w:r w:rsidR="005A701D">
              <w:rPr>
                <w:rFonts w:ascii="SimSun" w:hAnsi="SimSun" w:cs="SimSun" w:hint="eastAsia"/>
                <w:bCs/>
                <w:color w:val="000000"/>
              </w:rPr>
              <w:t>的主要业务</w:t>
            </w:r>
            <w:r w:rsidR="005A701D" w:rsidRPr="005A701D">
              <w:rPr>
                <w:rFonts w:ascii="SimSun" w:hAnsi="SimSun" w:cs="SimSun" w:hint="eastAsia"/>
                <w:bCs/>
                <w:color w:val="000000"/>
              </w:rPr>
              <w:t>包括供应链运营、城市建设和运营、旅游会展、医疗健康及新兴产业投资等。</w:t>
            </w:r>
            <w:bookmarkEnd w:id="0"/>
          </w:p>
        </w:tc>
      </w:tr>
      <w:tr w:rsidR="00AB1591" w14:paraId="03FED3EA" w14:textId="77777777" w:rsidTr="009D1F61">
        <w:trPr>
          <w:trHeight w:val="984"/>
          <w:jc w:val="center"/>
        </w:trPr>
        <w:tc>
          <w:tcPr>
            <w:tcW w:w="1705" w:type="dxa"/>
            <w:vMerge/>
            <w:shd w:val="clear" w:color="auto" w:fill="D9D9D9"/>
            <w:vAlign w:val="center"/>
          </w:tcPr>
          <w:p w14:paraId="6181F5E7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1C3924F" w14:textId="09151AB0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2.</w:t>
            </w:r>
            <w:r w:rsidR="009A43C3"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重庆环卫</w:t>
            </w:r>
          </w:p>
        </w:tc>
        <w:tc>
          <w:tcPr>
            <w:tcW w:w="6495" w:type="dxa"/>
            <w:vAlign w:val="center"/>
          </w:tcPr>
          <w:p w14:paraId="2DF4E126" w14:textId="76A75897" w:rsidR="009A43C3" w:rsidRPr="009A43C3" w:rsidRDefault="00600A55" w:rsidP="009A43C3">
            <w:pPr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</w:rPr>
            </w:pPr>
            <w:r>
              <w:rPr>
                <w:rFonts w:ascii="SimSun" w:hAnsi="SimSun" w:cs="SimSun" w:hint="eastAsia"/>
                <w:bCs/>
                <w:color w:val="000000"/>
              </w:rPr>
              <w:t>重庆</w:t>
            </w:r>
            <w:r w:rsidRPr="00820978">
              <w:rPr>
                <w:rFonts w:ascii="Arial" w:hAnsi="Arial" w:cs="Arial"/>
                <w:bCs/>
                <w:color w:val="000000"/>
              </w:rPr>
              <w:t>环卫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于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2002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年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12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月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29</w:t>
            </w:r>
            <w:r w:rsidR="009A43C3" w:rsidRPr="00820978">
              <w:rPr>
                <w:rFonts w:ascii="Arial" w:hAnsi="Arial" w:cs="Arial"/>
                <w:bCs/>
                <w:color w:val="000000"/>
              </w:rPr>
              <w:t>日成立于</w:t>
            </w:r>
            <w:r w:rsidR="009A43C3" w:rsidRPr="009A43C3">
              <w:rPr>
                <w:rFonts w:ascii="SimSun" w:hAnsi="SimSun" w:cs="SimSun" w:hint="eastAsia"/>
                <w:bCs/>
                <w:color w:val="000000"/>
              </w:rPr>
              <w:t>重庆市，主要</w:t>
            </w:r>
            <w:r w:rsidR="005220E0">
              <w:rPr>
                <w:rFonts w:ascii="SimSun" w:hAnsi="SimSun" w:cs="SimSun" w:hint="eastAsia"/>
                <w:bCs/>
                <w:color w:val="000000"/>
              </w:rPr>
              <w:t>从事</w:t>
            </w:r>
            <w:r w:rsidR="005220E0" w:rsidRPr="005220E0">
              <w:rPr>
                <w:rFonts w:ascii="SimSun" w:hAnsi="SimSun" w:cs="SimSun" w:hint="eastAsia"/>
                <w:bCs/>
                <w:color w:val="000000"/>
              </w:rPr>
              <w:t>城市环卫综合服务及垃圾资源化利用。</w:t>
            </w:r>
          </w:p>
          <w:p w14:paraId="29E2FC89" w14:textId="750DF6B6" w:rsidR="00AB1591" w:rsidRDefault="005220E0" w:rsidP="009A43C3">
            <w:pPr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</w:rPr>
            </w:pPr>
            <w:bookmarkStart w:id="1" w:name="_Hlk204643043"/>
            <w:r>
              <w:rPr>
                <w:rFonts w:ascii="SimSun" w:hAnsi="SimSun" w:cs="SimSun" w:hint="eastAsia"/>
                <w:bCs/>
                <w:color w:val="000000"/>
              </w:rPr>
              <w:t>重庆环卫</w:t>
            </w:r>
            <w:r w:rsidR="006468B0">
              <w:rPr>
                <w:rFonts w:ascii="SimSun" w:hAnsi="SimSun" w:cs="SimSun" w:hint="eastAsia"/>
                <w:bCs/>
                <w:color w:val="000000"/>
              </w:rPr>
              <w:t>的最终控制人为</w:t>
            </w:r>
            <w:r w:rsidRPr="005220E0">
              <w:rPr>
                <w:rFonts w:ascii="SimSun" w:hAnsi="SimSun" w:cs="SimSun" w:hint="eastAsia"/>
                <w:bCs/>
                <w:color w:val="000000"/>
              </w:rPr>
              <w:t>重庆渝富控股集团有限公司</w:t>
            </w:r>
            <w:r w:rsidR="001A7D9E">
              <w:rPr>
                <w:rFonts w:ascii="SimSun" w:hAnsi="SimSun" w:cs="SimSun" w:hint="eastAsia"/>
                <w:bCs/>
                <w:color w:val="000000"/>
              </w:rPr>
              <w:t>（“</w:t>
            </w:r>
            <w:r w:rsidR="001A7D9E" w:rsidRPr="001A7D9E">
              <w:rPr>
                <w:rFonts w:ascii="SimSun" w:hAnsi="SimSun" w:cs="SimSun" w:hint="eastAsia"/>
                <w:b/>
                <w:color w:val="000000"/>
              </w:rPr>
              <w:t>重庆渝富</w:t>
            </w:r>
            <w:r w:rsidR="001A7D9E">
              <w:rPr>
                <w:rFonts w:ascii="SimSun" w:hAnsi="SimSun" w:cs="SimSun" w:hint="eastAsia"/>
                <w:bCs/>
                <w:color w:val="000000"/>
              </w:rPr>
              <w:t>”）</w:t>
            </w:r>
            <w:r w:rsidR="006468B0">
              <w:rPr>
                <w:rFonts w:ascii="SimSun" w:hAnsi="SimSun" w:cs="SimSun" w:hint="eastAsia"/>
                <w:bCs/>
                <w:color w:val="000000"/>
              </w:rPr>
              <w:t>，</w:t>
            </w:r>
            <w:r w:rsidR="007B2668">
              <w:rPr>
                <w:rFonts w:ascii="SimSun" w:hAnsi="SimSun" w:cs="SimSun" w:hint="eastAsia"/>
                <w:bCs/>
                <w:color w:val="000000"/>
              </w:rPr>
              <w:t>主要</w:t>
            </w:r>
            <w:r w:rsidR="009D1F61">
              <w:rPr>
                <w:rFonts w:ascii="SimSun" w:hAnsi="SimSun" w:cs="SimSun" w:hint="eastAsia"/>
                <w:bCs/>
                <w:color w:val="000000"/>
              </w:rPr>
              <w:t>业务为</w:t>
            </w:r>
            <w:r w:rsidR="004C1B99" w:rsidRPr="004C1B99">
              <w:rPr>
                <w:rFonts w:ascii="SimSun" w:hAnsi="SimSun" w:cs="SimSun"/>
                <w:bCs/>
                <w:color w:val="000000"/>
              </w:rPr>
              <w:t>金融、工业、科技、能源</w:t>
            </w:r>
            <w:r w:rsidR="00C473CF">
              <w:rPr>
                <w:rFonts w:ascii="SimSun" w:hAnsi="SimSun" w:cs="SimSun" w:hint="eastAsia"/>
                <w:bCs/>
                <w:color w:val="000000"/>
              </w:rPr>
              <w:t>等</w:t>
            </w:r>
            <w:r w:rsidR="004C1B99" w:rsidRPr="004C1B99">
              <w:rPr>
                <w:rFonts w:ascii="SimSun" w:hAnsi="SimSun" w:cs="SimSun"/>
                <w:bCs/>
                <w:color w:val="000000"/>
              </w:rPr>
              <w:t>行业</w:t>
            </w:r>
            <w:r w:rsidR="00C473CF">
              <w:rPr>
                <w:rFonts w:ascii="SimSun" w:hAnsi="SimSun" w:cs="SimSun" w:hint="eastAsia"/>
                <w:bCs/>
                <w:color w:val="000000"/>
              </w:rPr>
              <w:t>的资产经营管理</w:t>
            </w:r>
            <w:r w:rsidR="007B2668">
              <w:rPr>
                <w:rFonts w:ascii="SimSun" w:hAnsi="SimSun" w:cs="SimSun" w:hint="eastAsia"/>
                <w:bCs/>
                <w:color w:val="000000"/>
              </w:rPr>
              <w:t>。</w:t>
            </w:r>
            <w:bookmarkEnd w:id="1"/>
          </w:p>
        </w:tc>
      </w:tr>
      <w:tr w:rsidR="00AB1591" w14:paraId="501E4A19" w14:textId="77777777" w:rsidTr="009D1F61">
        <w:trPr>
          <w:trHeight w:val="367"/>
          <w:jc w:val="center"/>
        </w:trPr>
        <w:tc>
          <w:tcPr>
            <w:tcW w:w="1705" w:type="dxa"/>
            <w:vMerge w:val="restart"/>
            <w:shd w:val="clear" w:color="auto" w:fill="D9D9D9"/>
            <w:vAlign w:val="center"/>
          </w:tcPr>
          <w:p w14:paraId="621457B3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935" w:type="dxa"/>
            <w:gridSpan w:val="2"/>
            <w:vAlign w:val="center"/>
          </w:tcPr>
          <w:p w14:paraId="417567DC" w14:textId="723E2DF2" w:rsidR="00AB1591" w:rsidRPr="009D1F61" w:rsidRDefault="009D1CCF" w:rsidP="009D1F61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 xml:space="preserve"> 1.</w:t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>15%</w:t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0A058781" w14:textId="77777777" w:rsidTr="009D1F61">
        <w:trPr>
          <w:trHeight w:val="163"/>
          <w:jc w:val="center"/>
        </w:trPr>
        <w:tc>
          <w:tcPr>
            <w:tcW w:w="1705" w:type="dxa"/>
            <w:vMerge/>
            <w:shd w:val="clear" w:color="auto" w:fill="D9D9D9"/>
            <w:vAlign w:val="center"/>
          </w:tcPr>
          <w:p w14:paraId="350D7F7E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935" w:type="dxa"/>
            <w:gridSpan w:val="2"/>
            <w:vAlign w:val="center"/>
          </w:tcPr>
          <w:p w14:paraId="61E0D984" w14:textId="2F6B8FF5" w:rsidR="00AB1591" w:rsidRPr="009D1F61" w:rsidRDefault="007B2668" w:rsidP="009D1F61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FE"/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 xml:space="preserve"> 2.</w:t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 w:rsidR="00AB1591" w:rsidRPr="009D1F61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19E202C9" w14:textId="77777777" w:rsidTr="009D1F61">
        <w:trPr>
          <w:trHeight w:val="267"/>
          <w:jc w:val="center"/>
        </w:trPr>
        <w:tc>
          <w:tcPr>
            <w:tcW w:w="1705" w:type="dxa"/>
            <w:vMerge/>
            <w:shd w:val="clear" w:color="auto" w:fill="D9D9D9"/>
            <w:vAlign w:val="center"/>
          </w:tcPr>
          <w:p w14:paraId="112C1E95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935" w:type="dxa"/>
            <w:gridSpan w:val="2"/>
            <w:vAlign w:val="center"/>
          </w:tcPr>
          <w:p w14:paraId="649DEEE0" w14:textId="77777777" w:rsidR="00AB1591" w:rsidRPr="009D1F61" w:rsidRDefault="00AB1591" w:rsidP="009D1F61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 xml:space="preserve"> 3.</w:t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496AF483" w14:textId="77777777" w:rsidTr="009D1F61">
        <w:trPr>
          <w:trHeight w:val="617"/>
          <w:jc w:val="center"/>
        </w:trPr>
        <w:tc>
          <w:tcPr>
            <w:tcW w:w="1705" w:type="dxa"/>
            <w:vMerge/>
            <w:shd w:val="clear" w:color="auto" w:fill="D9D9D9"/>
            <w:vAlign w:val="center"/>
          </w:tcPr>
          <w:p w14:paraId="0E9192B8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935" w:type="dxa"/>
            <w:gridSpan w:val="2"/>
            <w:vAlign w:val="center"/>
          </w:tcPr>
          <w:p w14:paraId="01B64B14" w14:textId="77777777" w:rsidR="00AB1591" w:rsidRPr="009D1F61" w:rsidRDefault="00AB1591" w:rsidP="009D1F61">
            <w:pPr>
              <w:pStyle w:val="BodyText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 xml:space="preserve"> 4.</w:t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AB1591" w14:paraId="7734741B" w14:textId="77777777" w:rsidTr="009D1F61">
        <w:trPr>
          <w:trHeight w:val="285"/>
          <w:jc w:val="center"/>
        </w:trPr>
        <w:tc>
          <w:tcPr>
            <w:tcW w:w="1705" w:type="dxa"/>
            <w:vMerge/>
            <w:shd w:val="clear" w:color="auto" w:fill="D9D9D9"/>
            <w:vAlign w:val="center"/>
          </w:tcPr>
          <w:p w14:paraId="273332EA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935" w:type="dxa"/>
            <w:gridSpan w:val="2"/>
            <w:vAlign w:val="center"/>
          </w:tcPr>
          <w:p w14:paraId="72350602" w14:textId="77777777" w:rsidR="00AB1591" w:rsidRPr="009D1F61" w:rsidRDefault="00AB1591" w:rsidP="009D1F61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 xml:space="preserve"> 5.</w:t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B1591" w14:paraId="7849EFAA" w14:textId="77777777" w:rsidTr="009D1F61">
        <w:trPr>
          <w:trHeight w:val="345"/>
          <w:jc w:val="center"/>
        </w:trPr>
        <w:tc>
          <w:tcPr>
            <w:tcW w:w="1705" w:type="dxa"/>
            <w:vMerge/>
            <w:shd w:val="clear" w:color="auto" w:fill="D9D9D9"/>
            <w:vAlign w:val="center"/>
          </w:tcPr>
          <w:p w14:paraId="325739E7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</w:p>
        </w:tc>
        <w:tc>
          <w:tcPr>
            <w:tcW w:w="7935" w:type="dxa"/>
            <w:gridSpan w:val="2"/>
            <w:vAlign w:val="center"/>
          </w:tcPr>
          <w:p w14:paraId="575523C4" w14:textId="77777777" w:rsidR="00AB1591" w:rsidRPr="009D1F61" w:rsidRDefault="00AB1591" w:rsidP="009D1F61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 xml:space="preserve"> 6.</w:t>
            </w:r>
            <w:r w:rsidRPr="009D1F61">
              <w:rPr>
                <w:rFonts w:ascii="Arial" w:hAnsi="Arial" w:cs="Arial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B1591" w14:paraId="766EFD51" w14:textId="77777777" w:rsidTr="009D1F61">
        <w:trPr>
          <w:trHeight w:val="1250"/>
          <w:jc w:val="center"/>
        </w:trPr>
        <w:tc>
          <w:tcPr>
            <w:tcW w:w="1705" w:type="dxa"/>
            <w:shd w:val="clear" w:color="auto" w:fill="D9D9D9"/>
            <w:vAlign w:val="center"/>
          </w:tcPr>
          <w:p w14:paraId="477C4850" w14:textId="77777777" w:rsidR="00AB1591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SimSun" w:hAnsi="SimSun" w:cs="SimSun"/>
                <w:bCs/>
                <w:color w:val="000000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935" w:type="dxa"/>
            <w:gridSpan w:val="2"/>
            <w:vAlign w:val="center"/>
          </w:tcPr>
          <w:p w14:paraId="1DB81A4B" w14:textId="589E0D44" w:rsidR="00AB1591" w:rsidRPr="002703AE" w:rsidRDefault="00AB1591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 w:rsidRPr="006F28E7">
              <w:rPr>
                <w:rFonts w:ascii="SimSun" w:hAnsi="SimSun" w:cs="SimSun" w:hint="eastAsia"/>
                <w:b/>
                <w:color w:val="000000"/>
                <w:lang w:eastAsia="zh-CN"/>
              </w:rPr>
              <w:t>纵向关联：</w:t>
            </w:r>
          </w:p>
          <w:p w14:paraId="3760E12B" w14:textId="28B9DD08" w:rsidR="004229CE" w:rsidRDefault="004229CE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 w:rsidRPr="004229CE">
              <w:rPr>
                <w:rFonts w:ascii="SimSun" w:hAnsi="SimSun" w:cs="SimSun" w:hint="eastAsia"/>
                <w:b/>
                <w:color w:val="000000"/>
                <w:lang w:eastAsia="zh-CN"/>
              </w:rPr>
              <w:t>上游</w:t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：</w:t>
            </w:r>
            <w:r w:rsidRPr="004229CE">
              <w:rPr>
                <w:rFonts w:ascii="Arial" w:hAnsi="Arial" w:cs="Arial"/>
                <w:bCs/>
                <w:color w:val="000000"/>
                <w:lang w:eastAsia="zh-CN"/>
              </w:rPr>
              <w:t>2024</w:t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年中国境内废弃油脂市场</w:t>
            </w:r>
          </w:p>
          <w:p w14:paraId="1916ECAC" w14:textId="26971390" w:rsidR="004229CE" w:rsidRDefault="000D47D1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重庆环卫：</w:t>
            </w:r>
            <w:r w:rsidR="003E1F60" w:rsidRPr="00A74083">
              <w:rPr>
                <w:rFonts w:ascii="Arial" w:hAnsi="Arial" w:cs="Arial"/>
                <w:bCs/>
                <w:color w:val="000000"/>
                <w:lang w:eastAsia="zh-CN"/>
              </w:rPr>
              <w:t>[</w:t>
            </w:r>
            <w:r w:rsidR="00A540BD">
              <w:rPr>
                <w:rFonts w:ascii="Arial" w:hAnsi="Arial" w:cs="Arial" w:hint="eastAsia"/>
                <w:bCs/>
                <w:color w:val="000000"/>
                <w:lang w:eastAsia="zh-CN"/>
              </w:rPr>
              <w:t>0</w:t>
            </w:r>
            <w:r w:rsidR="003E1F60" w:rsidRPr="00A74083">
              <w:rPr>
                <w:rFonts w:ascii="Arial" w:hAnsi="Arial" w:cs="Arial"/>
                <w:bCs/>
                <w:color w:val="000000"/>
                <w:lang w:eastAsia="zh-CN"/>
              </w:rPr>
              <w:t>-</w:t>
            </w:r>
            <w:proofErr w:type="gramStart"/>
            <w:r w:rsidR="003E1F60" w:rsidRPr="00A74083">
              <w:rPr>
                <w:rFonts w:ascii="Arial" w:hAnsi="Arial" w:cs="Arial"/>
                <w:bCs/>
                <w:color w:val="000000"/>
                <w:lang w:eastAsia="zh-CN"/>
              </w:rPr>
              <w:t>5]%</w:t>
            </w:r>
            <w:proofErr w:type="gramEnd"/>
          </w:p>
          <w:p w14:paraId="3AD56100" w14:textId="2D6C2D98" w:rsidR="00AB1591" w:rsidRPr="006F28E7" w:rsidRDefault="004229CE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 w:rsidRPr="004229CE">
              <w:rPr>
                <w:rFonts w:ascii="SimSun" w:hAnsi="SimSun" w:cs="SimSun" w:hint="eastAsia"/>
                <w:b/>
                <w:color w:val="000000"/>
                <w:lang w:eastAsia="zh-CN"/>
              </w:rPr>
              <w:t>中</w:t>
            </w:r>
            <w:r w:rsidR="00AB1591" w:rsidRPr="004229CE">
              <w:rPr>
                <w:rFonts w:ascii="SimSun" w:hAnsi="SimSun" w:cs="SimSun" w:hint="eastAsia"/>
                <w:b/>
                <w:color w:val="000000"/>
                <w:lang w:eastAsia="zh-CN"/>
              </w:rPr>
              <w:t>游</w:t>
            </w:r>
            <w:r w:rsidR="00AB1591" w:rsidRPr="006F28E7">
              <w:rPr>
                <w:rFonts w:ascii="SimSun" w:hAnsi="SimSun" w:cs="SimSun" w:hint="eastAsia"/>
                <w:bCs/>
                <w:color w:val="000000"/>
                <w:lang w:eastAsia="zh-CN"/>
              </w:rPr>
              <w:t>：</w:t>
            </w:r>
            <w:r w:rsidR="00820978" w:rsidRPr="00820978">
              <w:rPr>
                <w:rFonts w:ascii="Arial" w:hAnsi="Arial" w:cs="Arial"/>
                <w:bCs/>
                <w:color w:val="000000"/>
                <w:lang w:eastAsia="zh-CN"/>
              </w:rPr>
              <w:t>2024</w:t>
            </w:r>
            <w:r w:rsidR="00AB1591" w:rsidRPr="006F28E7">
              <w:rPr>
                <w:rFonts w:ascii="SimSun" w:hAnsi="SimSun" w:cs="SimSun" w:hint="eastAsia"/>
                <w:bCs/>
                <w:color w:val="000000"/>
                <w:lang w:eastAsia="zh-CN"/>
              </w:rPr>
              <w:t>年中国境内</w:t>
            </w:r>
            <w:r w:rsidR="00820978">
              <w:rPr>
                <w:rFonts w:ascii="SimSun" w:hAnsi="SimSun" w:cs="SimSun" w:hint="eastAsia"/>
                <w:bCs/>
                <w:color w:val="000000"/>
                <w:lang w:eastAsia="zh-CN"/>
              </w:rPr>
              <w:t>工业级混合油</w:t>
            </w:r>
            <w:r w:rsidR="00AB1591" w:rsidRPr="006F28E7">
              <w:rPr>
                <w:rFonts w:ascii="SimSun" w:hAnsi="SimSun" w:cs="SimSun" w:hint="eastAsia"/>
                <w:bCs/>
                <w:color w:val="000000"/>
                <w:lang w:eastAsia="zh-CN"/>
              </w:rPr>
              <w:t>市场</w:t>
            </w:r>
          </w:p>
          <w:p w14:paraId="6E105346" w14:textId="0CD641D3" w:rsidR="009D1CCF" w:rsidRPr="00512D30" w:rsidRDefault="009D1CCF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 w:rsidRPr="00820978">
              <w:rPr>
                <w:rFonts w:ascii="Arial" w:hAnsi="Arial" w:cs="Arial"/>
                <w:bCs/>
                <w:color w:val="000000"/>
                <w:lang w:eastAsia="zh-CN"/>
              </w:rPr>
              <w:t>合营企业：</w:t>
            </w:r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[</w:t>
            </w:r>
            <w:r w:rsidR="00A540BD">
              <w:rPr>
                <w:rFonts w:ascii="Arial" w:hAnsi="Arial" w:cs="Arial" w:hint="eastAsia"/>
                <w:bCs/>
                <w:color w:val="000000"/>
                <w:lang w:eastAsia="zh-CN"/>
              </w:rPr>
              <w:t>0</w:t>
            </w:r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-</w:t>
            </w:r>
            <w:proofErr w:type="gramStart"/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5]%</w:t>
            </w:r>
            <w:proofErr w:type="gramEnd"/>
          </w:p>
          <w:p w14:paraId="6DF521A4" w14:textId="0F2D99D0" w:rsidR="00AB1591" w:rsidRPr="006F28E7" w:rsidRDefault="00AB1591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 w:rsidRPr="004229CE">
              <w:rPr>
                <w:rFonts w:ascii="SimSun" w:hAnsi="SimSun" w:cs="SimSun" w:hint="eastAsia"/>
                <w:b/>
                <w:color w:val="000000"/>
                <w:lang w:eastAsia="zh-CN"/>
              </w:rPr>
              <w:t>下游</w:t>
            </w:r>
            <w:r w:rsidRPr="006F28E7">
              <w:rPr>
                <w:rFonts w:ascii="SimSun" w:hAnsi="SimSun" w:cs="SimSun" w:hint="eastAsia"/>
                <w:bCs/>
                <w:color w:val="000000"/>
                <w:lang w:eastAsia="zh-CN"/>
              </w:rPr>
              <w:t>：</w:t>
            </w:r>
            <w:r w:rsidR="00820978" w:rsidRPr="00820978">
              <w:rPr>
                <w:rFonts w:ascii="Arial" w:hAnsi="Arial" w:cs="Arial"/>
                <w:bCs/>
                <w:color w:val="000000"/>
                <w:lang w:eastAsia="zh-CN"/>
              </w:rPr>
              <w:t>2024</w:t>
            </w:r>
            <w:r w:rsidRPr="006F28E7">
              <w:rPr>
                <w:rFonts w:ascii="SimSun" w:hAnsi="SimSun" w:cs="SimSun" w:hint="eastAsia"/>
                <w:bCs/>
                <w:color w:val="000000"/>
                <w:lang w:eastAsia="zh-CN"/>
              </w:rPr>
              <w:t>年</w:t>
            </w:r>
            <w:r w:rsidR="00820978">
              <w:rPr>
                <w:rFonts w:ascii="SimSun" w:hAnsi="SimSun" w:cs="SimSun" w:hint="eastAsia"/>
                <w:bCs/>
                <w:color w:val="000000"/>
                <w:lang w:eastAsia="zh-CN"/>
              </w:rPr>
              <w:t>全球可持续航空燃料</w:t>
            </w:r>
            <w:r w:rsidRPr="006F28E7">
              <w:rPr>
                <w:rFonts w:ascii="SimSun" w:hAnsi="SimSun" w:cs="SimSun" w:hint="eastAsia"/>
                <w:bCs/>
                <w:color w:val="000000"/>
                <w:lang w:eastAsia="zh-CN"/>
              </w:rPr>
              <w:t>市场</w:t>
            </w:r>
          </w:p>
          <w:p w14:paraId="786243ED" w14:textId="12A7EC35" w:rsidR="00AB1591" w:rsidRDefault="00820978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proofErr w:type="gramStart"/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思可源</w:t>
            </w:r>
            <w:proofErr w:type="gramEnd"/>
            <w:r w:rsidR="00AB1591">
              <w:rPr>
                <w:rFonts w:ascii="SimSun" w:hAnsi="SimSun" w:cs="SimSun" w:hint="eastAsia"/>
                <w:bCs/>
                <w:color w:val="000000"/>
                <w:lang w:eastAsia="zh-CN"/>
              </w:rPr>
              <w:t>：</w:t>
            </w:r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[</w:t>
            </w:r>
            <w:r w:rsidR="00A540BD">
              <w:rPr>
                <w:rFonts w:ascii="Arial" w:hAnsi="Arial" w:cs="Arial" w:hint="eastAsia"/>
                <w:bCs/>
                <w:color w:val="000000"/>
                <w:lang w:eastAsia="zh-CN"/>
              </w:rPr>
              <w:t>0</w:t>
            </w:r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-</w:t>
            </w:r>
            <w:proofErr w:type="gramStart"/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5]%</w:t>
            </w:r>
            <w:proofErr w:type="gramEnd"/>
          </w:p>
          <w:p w14:paraId="1F5F48F3" w14:textId="366DADCE" w:rsidR="00820978" w:rsidRDefault="00820978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r w:rsidRPr="00820978">
              <w:rPr>
                <w:rFonts w:ascii="Arial" w:hAnsi="Arial" w:cs="Arial"/>
                <w:bCs/>
                <w:color w:val="000000"/>
                <w:lang w:eastAsia="zh-CN"/>
              </w:rPr>
              <w:t>2024</w:t>
            </w:r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年中国境内可持续航空燃料市场</w:t>
            </w:r>
          </w:p>
          <w:p w14:paraId="70187C8C" w14:textId="4F1D7BB4" w:rsidR="00820978" w:rsidRPr="006F28E7" w:rsidRDefault="00820978" w:rsidP="000D47D1">
            <w:pPr>
              <w:pStyle w:val="BodyText"/>
              <w:adjustRightInd w:val="0"/>
              <w:snapToGrid w:val="0"/>
              <w:spacing w:after="40"/>
              <w:rPr>
                <w:rFonts w:ascii="SimSun" w:hAnsi="SimSun" w:cs="SimSun"/>
                <w:bCs/>
                <w:color w:val="000000"/>
                <w:lang w:eastAsia="zh-CN"/>
              </w:rPr>
            </w:pPr>
            <w:proofErr w:type="gramStart"/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思可源</w:t>
            </w:r>
            <w:proofErr w:type="gramEnd"/>
            <w:r>
              <w:rPr>
                <w:rFonts w:ascii="SimSun" w:hAnsi="SimSun" w:cs="SimSun" w:hint="eastAsia"/>
                <w:bCs/>
                <w:color w:val="000000"/>
                <w:lang w:eastAsia="zh-CN"/>
              </w:rPr>
              <w:t>：</w:t>
            </w:r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[</w:t>
            </w:r>
            <w:r w:rsidR="00A540BD">
              <w:rPr>
                <w:rFonts w:ascii="Arial" w:hAnsi="Arial" w:cs="Arial" w:hint="eastAsia"/>
                <w:bCs/>
                <w:color w:val="000000"/>
                <w:lang w:eastAsia="zh-CN"/>
              </w:rPr>
              <w:t>0</w:t>
            </w:r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-</w:t>
            </w:r>
            <w:proofErr w:type="gramStart"/>
            <w:r w:rsidR="00512D30" w:rsidRPr="00A74083">
              <w:rPr>
                <w:rFonts w:ascii="Arial" w:hAnsi="Arial" w:cs="Arial"/>
                <w:bCs/>
                <w:color w:val="000000"/>
                <w:lang w:eastAsia="zh-CN"/>
              </w:rPr>
              <w:t>5]%</w:t>
            </w:r>
            <w:proofErr w:type="gramEnd"/>
          </w:p>
        </w:tc>
      </w:tr>
    </w:tbl>
    <w:p w14:paraId="0D8914B2" w14:textId="43E3242E" w:rsidR="00AB1591" w:rsidRPr="00F372D2" w:rsidRDefault="00AB1591" w:rsidP="00F372D2">
      <w:pPr>
        <w:pStyle w:val="BodyText"/>
        <w:adjustRightInd w:val="0"/>
        <w:snapToGrid w:val="0"/>
        <w:spacing w:after="0"/>
        <w:rPr>
          <w:rFonts w:ascii="SimSun" w:hAnsi="SimSun" w:cs="SimSun"/>
          <w:bCs/>
          <w:color w:val="000000"/>
          <w:lang w:eastAsia="zh-CN"/>
        </w:rPr>
      </w:pPr>
    </w:p>
    <w:sectPr w:rsidR="00AB1591" w:rsidRPr="00F372D2" w:rsidSect="00B73812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41E6" w14:textId="77777777" w:rsidR="00B62E39" w:rsidRDefault="00B62E39">
      <w:pPr>
        <w:spacing w:after="0"/>
      </w:pPr>
      <w:r>
        <w:separator/>
      </w:r>
    </w:p>
  </w:endnote>
  <w:endnote w:type="continuationSeparator" w:id="0">
    <w:p w14:paraId="41EB9B0C" w14:textId="77777777" w:rsidR="00B62E39" w:rsidRDefault="00B62E39">
      <w:pPr>
        <w:spacing w:after="0"/>
      </w:pPr>
      <w:r>
        <w:continuationSeparator/>
      </w:r>
    </w:p>
  </w:endnote>
  <w:endnote w:type="continuationNotice" w:id="1">
    <w:p w14:paraId="7393616A" w14:textId="77777777" w:rsidR="00B62E39" w:rsidRDefault="00B62E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49FF" w14:textId="77777777" w:rsidR="00B62E39" w:rsidRDefault="00B62E39">
      <w:pPr>
        <w:spacing w:after="0"/>
      </w:pPr>
      <w:r>
        <w:separator/>
      </w:r>
    </w:p>
  </w:footnote>
  <w:footnote w:type="continuationSeparator" w:id="0">
    <w:p w14:paraId="55CE0CA4" w14:textId="77777777" w:rsidR="00B62E39" w:rsidRDefault="00B62E39">
      <w:pPr>
        <w:spacing w:after="0"/>
      </w:pPr>
      <w:r>
        <w:continuationSeparator/>
      </w:r>
    </w:p>
  </w:footnote>
  <w:footnote w:type="continuationNotice" w:id="1">
    <w:p w14:paraId="785E75D7" w14:textId="77777777" w:rsidR="00B62E39" w:rsidRDefault="00B62E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440031797">
    <w:abstractNumId w:val="2"/>
  </w:num>
  <w:num w:numId="2" w16cid:durableId="1890915228">
    <w:abstractNumId w:val="0"/>
  </w:num>
  <w:num w:numId="3" w16cid:durableId="15842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484E"/>
    <w:rsid w:val="000150B7"/>
    <w:rsid w:val="00021AB2"/>
    <w:rsid w:val="00026A91"/>
    <w:rsid w:val="00031015"/>
    <w:rsid w:val="000326C8"/>
    <w:rsid w:val="000350B3"/>
    <w:rsid w:val="00041C40"/>
    <w:rsid w:val="0004292A"/>
    <w:rsid w:val="000467AA"/>
    <w:rsid w:val="00061ACC"/>
    <w:rsid w:val="00062616"/>
    <w:rsid w:val="00073E6B"/>
    <w:rsid w:val="0007723F"/>
    <w:rsid w:val="00077D60"/>
    <w:rsid w:val="00083590"/>
    <w:rsid w:val="00092F4E"/>
    <w:rsid w:val="000B58E5"/>
    <w:rsid w:val="000B5958"/>
    <w:rsid w:val="000B653C"/>
    <w:rsid w:val="000C12E5"/>
    <w:rsid w:val="000C6953"/>
    <w:rsid w:val="000D0853"/>
    <w:rsid w:val="000D47D1"/>
    <w:rsid w:val="000E29A9"/>
    <w:rsid w:val="000E3A81"/>
    <w:rsid w:val="00107E19"/>
    <w:rsid w:val="00115F62"/>
    <w:rsid w:val="00123E26"/>
    <w:rsid w:val="0013032F"/>
    <w:rsid w:val="001435C8"/>
    <w:rsid w:val="00144ED5"/>
    <w:rsid w:val="00145A04"/>
    <w:rsid w:val="00145B05"/>
    <w:rsid w:val="001639D8"/>
    <w:rsid w:val="00167474"/>
    <w:rsid w:val="00174563"/>
    <w:rsid w:val="00186A05"/>
    <w:rsid w:val="001965E2"/>
    <w:rsid w:val="001A7857"/>
    <w:rsid w:val="001A7D9E"/>
    <w:rsid w:val="001B4EA1"/>
    <w:rsid w:val="001C0495"/>
    <w:rsid w:val="001C5840"/>
    <w:rsid w:val="001C611D"/>
    <w:rsid w:val="001D1555"/>
    <w:rsid w:val="001D6168"/>
    <w:rsid w:val="001E0F1F"/>
    <w:rsid w:val="001F346E"/>
    <w:rsid w:val="001F35AA"/>
    <w:rsid w:val="001F367B"/>
    <w:rsid w:val="002003C5"/>
    <w:rsid w:val="00223E4E"/>
    <w:rsid w:val="00224A7C"/>
    <w:rsid w:val="00227605"/>
    <w:rsid w:val="002278D1"/>
    <w:rsid w:val="00231665"/>
    <w:rsid w:val="00233737"/>
    <w:rsid w:val="002403B5"/>
    <w:rsid w:val="00245281"/>
    <w:rsid w:val="00250E61"/>
    <w:rsid w:val="00261F94"/>
    <w:rsid w:val="002676B9"/>
    <w:rsid w:val="00267941"/>
    <w:rsid w:val="002703AE"/>
    <w:rsid w:val="00287E91"/>
    <w:rsid w:val="00291652"/>
    <w:rsid w:val="00295A9A"/>
    <w:rsid w:val="002964A1"/>
    <w:rsid w:val="002A25F2"/>
    <w:rsid w:val="002A2905"/>
    <w:rsid w:val="002A7C26"/>
    <w:rsid w:val="002B1443"/>
    <w:rsid w:val="002D0419"/>
    <w:rsid w:val="002E19BF"/>
    <w:rsid w:val="002F09A7"/>
    <w:rsid w:val="002F5271"/>
    <w:rsid w:val="00306B88"/>
    <w:rsid w:val="00310488"/>
    <w:rsid w:val="00311263"/>
    <w:rsid w:val="0034107F"/>
    <w:rsid w:val="00344D27"/>
    <w:rsid w:val="00352BA5"/>
    <w:rsid w:val="0035604C"/>
    <w:rsid w:val="00371332"/>
    <w:rsid w:val="0037525D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456"/>
    <w:rsid w:val="003D3FCB"/>
    <w:rsid w:val="003E1F60"/>
    <w:rsid w:val="003E3B57"/>
    <w:rsid w:val="003E73DB"/>
    <w:rsid w:val="003F1EAC"/>
    <w:rsid w:val="00410914"/>
    <w:rsid w:val="004119F5"/>
    <w:rsid w:val="004166B2"/>
    <w:rsid w:val="004203EF"/>
    <w:rsid w:val="004229CE"/>
    <w:rsid w:val="00427E52"/>
    <w:rsid w:val="00446353"/>
    <w:rsid w:val="0044739B"/>
    <w:rsid w:val="00447FA5"/>
    <w:rsid w:val="00467A6B"/>
    <w:rsid w:val="00483A62"/>
    <w:rsid w:val="0049707A"/>
    <w:rsid w:val="004973DB"/>
    <w:rsid w:val="0049771A"/>
    <w:rsid w:val="004A4BF1"/>
    <w:rsid w:val="004C1B99"/>
    <w:rsid w:val="004C3420"/>
    <w:rsid w:val="004D018B"/>
    <w:rsid w:val="004D124C"/>
    <w:rsid w:val="004D4435"/>
    <w:rsid w:val="00504EF0"/>
    <w:rsid w:val="00512A53"/>
    <w:rsid w:val="00512D30"/>
    <w:rsid w:val="00516AA1"/>
    <w:rsid w:val="005220E0"/>
    <w:rsid w:val="00523905"/>
    <w:rsid w:val="005251B9"/>
    <w:rsid w:val="00530BB4"/>
    <w:rsid w:val="00545A47"/>
    <w:rsid w:val="005517F9"/>
    <w:rsid w:val="005529F5"/>
    <w:rsid w:val="00557B7E"/>
    <w:rsid w:val="005672E1"/>
    <w:rsid w:val="0057200D"/>
    <w:rsid w:val="00584750"/>
    <w:rsid w:val="00591CEC"/>
    <w:rsid w:val="005A701D"/>
    <w:rsid w:val="005A74EA"/>
    <w:rsid w:val="005B0CEB"/>
    <w:rsid w:val="005B18A3"/>
    <w:rsid w:val="005D277C"/>
    <w:rsid w:val="005D6D17"/>
    <w:rsid w:val="005E2173"/>
    <w:rsid w:val="005E4B84"/>
    <w:rsid w:val="005E7B2F"/>
    <w:rsid w:val="005F5280"/>
    <w:rsid w:val="005F7223"/>
    <w:rsid w:val="00600A55"/>
    <w:rsid w:val="0060413B"/>
    <w:rsid w:val="00605EE6"/>
    <w:rsid w:val="0060669E"/>
    <w:rsid w:val="00614EBB"/>
    <w:rsid w:val="0061583E"/>
    <w:rsid w:val="00617BCA"/>
    <w:rsid w:val="00632159"/>
    <w:rsid w:val="00641099"/>
    <w:rsid w:val="00645B6A"/>
    <w:rsid w:val="006468B0"/>
    <w:rsid w:val="00651ED7"/>
    <w:rsid w:val="00652D70"/>
    <w:rsid w:val="00655225"/>
    <w:rsid w:val="00664174"/>
    <w:rsid w:val="006643EA"/>
    <w:rsid w:val="0067348D"/>
    <w:rsid w:val="006745A9"/>
    <w:rsid w:val="00682729"/>
    <w:rsid w:val="006A3F69"/>
    <w:rsid w:val="006A5B9F"/>
    <w:rsid w:val="006A6F18"/>
    <w:rsid w:val="006B4541"/>
    <w:rsid w:val="006D1E2B"/>
    <w:rsid w:val="006E0D98"/>
    <w:rsid w:val="006E3180"/>
    <w:rsid w:val="006E6E26"/>
    <w:rsid w:val="006E70AA"/>
    <w:rsid w:val="006F28E7"/>
    <w:rsid w:val="006F7A98"/>
    <w:rsid w:val="007029CB"/>
    <w:rsid w:val="00705778"/>
    <w:rsid w:val="00710977"/>
    <w:rsid w:val="0071288A"/>
    <w:rsid w:val="00712E0A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2668"/>
    <w:rsid w:val="007B651A"/>
    <w:rsid w:val="007B6ED8"/>
    <w:rsid w:val="007B75E4"/>
    <w:rsid w:val="007E2608"/>
    <w:rsid w:val="007F1726"/>
    <w:rsid w:val="0080200E"/>
    <w:rsid w:val="00803A33"/>
    <w:rsid w:val="008051ED"/>
    <w:rsid w:val="00811775"/>
    <w:rsid w:val="00820978"/>
    <w:rsid w:val="00821D37"/>
    <w:rsid w:val="008248B2"/>
    <w:rsid w:val="00834D88"/>
    <w:rsid w:val="00864085"/>
    <w:rsid w:val="008803D0"/>
    <w:rsid w:val="00880F24"/>
    <w:rsid w:val="008836AF"/>
    <w:rsid w:val="00883EC2"/>
    <w:rsid w:val="00885C9B"/>
    <w:rsid w:val="00893879"/>
    <w:rsid w:val="008B2172"/>
    <w:rsid w:val="008D4ED8"/>
    <w:rsid w:val="008D644E"/>
    <w:rsid w:val="008E5BCA"/>
    <w:rsid w:val="009022B0"/>
    <w:rsid w:val="00905F4A"/>
    <w:rsid w:val="009145E4"/>
    <w:rsid w:val="009301D9"/>
    <w:rsid w:val="0094346F"/>
    <w:rsid w:val="0095093E"/>
    <w:rsid w:val="00953187"/>
    <w:rsid w:val="009551E9"/>
    <w:rsid w:val="0096333E"/>
    <w:rsid w:val="009668EC"/>
    <w:rsid w:val="00977C3B"/>
    <w:rsid w:val="0098254C"/>
    <w:rsid w:val="00986A9A"/>
    <w:rsid w:val="009901B5"/>
    <w:rsid w:val="009A0BCC"/>
    <w:rsid w:val="009A2EFA"/>
    <w:rsid w:val="009A43C3"/>
    <w:rsid w:val="009A57C5"/>
    <w:rsid w:val="009A6CD4"/>
    <w:rsid w:val="009A6E66"/>
    <w:rsid w:val="009B0211"/>
    <w:rsid w:val="009C16F8"/>
    <w:rsid w:val="009C1DE7"/>
    <w:rsid w:val="009C2C05"/>
    <w:rsid w:val="009C5625"/>
    <w:rsid w:val="009C5962"/>
    <w:rsid w:val="009D0999"/>
    <w:rsid w:val="009D1CCF"/>
    <w:rsid w:val="009D1F61"/>
    <w:rsid w:val="009E679E"/>
    <w:rsid w:val="009F0698"/>
    <w:rsid w:val="009F4852"/>
    <w:rsid w:val="00A05705"/>
    <w:rsid w:val="00A14643"/>
    <w:rsid w:val="00A16F03"/>
    <w:rsid w:val="00A20754"/>
    <w:rsid w:val="00A21136"/>
    <w:rsid w:val="00A2266D"/>
    <w:rsid w:val="00A3323A"/>
    <w:rsid w:val="00A46C66"/>
    <w:rsid w:val="00A46FAF"/>
    <w:rsid w:val="00A540BD"/>
    <w:rsid w:val="00A5674A"/>
    <w:rsid w:val="00A623EF"/>
    <w:rsid w:val="00A64F91"/>
    <w:rsid w:val="00A74083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6B49"/>
    <w:rsid w:val="00AF7089"/>
    <w:rsid w:val="00B04913"/>
    <w:rsid w:val="00B2169A"/>
    <w:rsid w:val="00B31D4D"/>
    <w:rsid w:val="00B3616B"/>
    <w:rsid w:val="00B37633"/>
    <w:rsid w:val="00B518C9"/>
    <w:rsid w:val="00B52EAC"/>
    <w:rsid w:val="00B54969"/>
    <w:rsid w:val="00B62E39"/>
    <w:rsid w:val="00B73812"/>
    <w:rsid w:val="00B80B9E"/>
    <w:rsid w:val="00B838DA"/>
    <w:rsid w:val="00B853DE"/>
    <w:rsid w:val="00B86E3A"/>
    <w:rsid w:val="00BA017F"/>
    <w:rsid w:val="00BA2177"/>
    <w:rsid w:val="00BD535F"/>
    <w:rsid w:val="00BE6E64"/>
    <w:rsid w:val="00BF31B7"/>
    <w:rsid w:val="00BF4F99"/>
    <w:rsid w:val="00C10048"/>
    <w:rsid w:val="00C25EA9"/>
    <w:rsid w:val="00C30E9B"/>
    <w:rsid w:val="00C424FC"/>
    <w:rsid w:val="00C455A5"/>
    <w:rsid w:val="00C473CF"/>
    <w:rsid w:val="00C51ECC"/>
    <w:rsid w:val="00C600D9"/>
    <w:rsid w:val="00C67ADA"/>
    <w:rsid w:val="00C80034"/>
    <w:rsid w:val="00C810E8"/>
    <w:rsid w:val="00C847C2"/>
    <w:rsid w:val="00C855A7"/>
    <w:rsid w:val="00C90BF7"/>
    <w:rsid w:val="00CA6613"/>
    <w:rsid w:val="00CC25D0"/>
    <w:rsid w:val="00CC69AD"/>
    <w:rsid w:val="00CD4F63"/>
    <w:rsid w:val="00CF1664"/>
    <w:rsid w:val="00CF5A8A"/>
    <w:rsid w:val="00D01278"/>
    <w:rsid w:val="00D02D8F"/>
    <w:rsid w:val="00D12AB1"/>
    <w:rsid w:val="00D205F5"/>
    <w:rsid w:val="00D210DE"/>
    <w:rsid w:val="00D23B36"/>
    <w:rsid w:val="00D27AEB"/>
    <w:rsid w:val="00D53BAE"/>
    <w:rsid w:val="00D53DAE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1D73"/>
    <w:rsid w:val="00DA7ADD"/>
    <w:rsid w:val="00DB2761"/>
    <w:rsid w:val="00DB2FF6"/>
    <w:rsid w:val="00DD0E0C"/>
    <w:rsid w:val="00DD7765"/>
    <w:rsid w:val="00DE522D"/>
    <w:rsid w:val="00E04201"/>
    <w:rsid w:val="00E06974"/>
    <w:rsid w:val="00E23955"/>
    <w:rsid w:val="00E340CC"/>
    <w:rsid w:val="00E417DF"/>
    <w:rsid w:val="00E47327"/>
    <w:rsid w:val="00E66815"/>
    <w:rsid w:val="00E7385D"/>
    <w:rsid w:val="00E86579"/>
    <w:rsid w:val="00E90A19"/>
    <w:rsid w:val="00E974F8"/>
    <w:rsid w:val="00EA2758"/>
    <w:rsid w:val="00EA38E5"/>
    <w:rsid w:val="00EA79DA"/>
    <w:rsid w:val="00EC1274"/>
    <w:rsid w:val="00EC3217"/>
    <w:rsid w:val="00EC636E"/>
    <w:rsid w:val="00EC7E55"/>
    <w:rsid w:val="00ED6F93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3614E"/>
    <w:rsid w:val="00F372D2"/>
    <w:rsid w:val="00F4586E"/>
    <w:rsid w:val="00F45A4D"/>
    <w:rsid w:val="00F56870"/>
    <w:rsid w:val="00F576E0"/>
    <w:rsid w:val="00F6440C"/>
    <w:rsid w:val="00F87813"/>
    <w:rsid w:val="00F901CF"/>
    <w:rsid w:val="00F90205"/>
    <w:rsid w:val="00F906EF"/>
    <w:rsid w:val="00FB1FA1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3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91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Normal"/>
    <w:next w:val="BodyText2"/>
    <w:link w:val="StandardL8Char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Normal"/>
    <w:next w:val="BodyText6"/>
    <w:link w:val="StandardL7Char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Normal"/>
    <w:next w:val="BodyText5"/>
    <w:link w:val="StandardL6Char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Normal"/>
    <w:next w:val="BodyText4"/>
    <w:link w:val="StandardL5Char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Normal"/>
    <w:link w:val="BulletL9Char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Normal"/>
    <w:link w:val="BulletL8Char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Normal"/>
    <w:link w:val="BulletL7Char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Normal"/>
    <w:link w:val="BulletL6Char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Normal"/>
    <w:link w:val="BulletL5Char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Normal"/>
    <w:link w:val="BulletL4Char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Normal"/>
    <w:link w:val="BulletL3Char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Normal"/>
    <w:link w:val="BulletL2Char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Normal"/>
    <w:link w:val="BulletL1Char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Normal"/>
    <w:next w:val="BodyText3"/>
    <w:link w:val="StandardL4Char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Normal"/>
    <w:next w:val="BodyText2"/>
    <w:link w:val="StandardL3Char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Normal"/>
    <w:next w:val="BodyText1"/>
    <w:link w:val="StandardL2Char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0">
    <w:name w:val="Normal + Left"/>
    <w:basedOn w:val="Bullet1"/>
    <w:pPr>
      <w:spacing w:before="0"/>
      <w:ind w:left="644" w:hanging="360"/>
    </w:pPr>
    <w:rPr>
      <w:rFonts w:eastAsia="FangSong_GB2312"/>
      <w:bCs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02D8F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9D1CCF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2025-09-13T23:57:00Z</dcterms:created>
  <dcterms:modified xsi:type="dcterms:W3CDTF">2025-09-29T02:51:00Z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10798621</vt:lpwstr>
  </property>
  <property fmtid="{D5CDD505-2E9C-101B-9397-08002B2CF9AE}" pid="3" name="Matter Number">
    <vt:lpwstr>L-361644</vt:lpwstr>
  </property>
  <property fmtid="{D5CDD505-2E9C-101B-9397-08002B2CF9AE}" pid="4" name="Document Number">
    <vt:lpwstr>2201265246</vt:lpwstr>
  </property>
  <property fmtid="{D5CDD505-2E9C-101B-9397-08002B2CF9AE}" pid="5" name="Last Modified">
    <vt:lpwstr>26 Sep 2025</vt:lpwstr>
  </property>
  <property fmtid="{D5CDD505-2E9C-101B-9397-08002B2CF9AE}" pid="6" name="Version">
    <vt:lpwstr>1</vt:lpwstr>
  </property>
</Properties>
</file>