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after="240"/>
        <w:jc w:val="center"/>
        <w:rPr>
          <w:rFonts w:hint="eastAsia" w:ascii="黑体" w:hAnsi="黑体" w:eastAsia="黑体" w:cs="黑体"/>
          <w:bCs/>
          <w:kern w:val="0"/>
          <w:sz w:val="36"/>
          <w:szCs w:val="36"/>
          <w:lang w:val="en-GB" w:bidi="ar-AE"/>
        </w:rPr>
      </w:pPr>
      <w:r>
        <w:rPr>
          <w:rFonts w:ascii="黑体" w:hAnsi="黑体" w:eastAsia="黑体" w:cs="黑体"/>
          <w:bCs/>
          <w:kern w:val="0"/>
          <w:sz w:val="36"/>
          <w:szCs w:val="36"/>
          <w:lang w:val="en-GB" w:bidi="ar-AE"/>
        </w:rPr>
        <w:t>经营者集中简易案件公示表</w:t>
      </w:r>
    </w:p>
    <w:tbl>
      <w:tblPr>
        <w:tblStyle w:val="7"/>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1588"/>
        <w:gridCol w:w="5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09" w:type="dxa"/>
            <w:shd w:val="clear" w:color="auto" w:fill="D9D9D9"/>
            <w:vAlign w:val="center"/>
          </w:tcPr>
          <w:p>
            <w:pPr>
              <w:snapToGrid w:val="0"/>
              <w:jc w:val="left"/>
              <w:rPr>
                <w:rFonts w:ascii="Times New Roman" w:hAnsi="Times New Roman"/>
                <w:color w:val="333333"/>
                <w:kern w:val="0"/>
                <w:sz w:val="24"/>
                <w:szCs w:val="21"/>
              </w:rPr>
            </w:pPr>
            <w:r>
              <w:rPr>
                <w:rFonts w:ascii="Times New Roman" w:hAnsi="Times New Roman"/>
                <w:color w:val="333333"/>
                <w:kern w:val="0"/>
                <w:sz w:val="24"/>
                <w:szCs w:val="21"/>
              </w:rPr>
              <w:t>案件名称</w:t>
            </w:r>
          </w:p>
        </w:tc>
        <w:tc>
          <w:tcPr>
            <w:tcW w:w="7400" w:type="dxa"/>
            <w:gridSpan w:val="2"/>
            <w:vAlign w:val="center"/>
          </w:tcPr>
          <w:p>
            <w:pPr>
              <w:widowControl/>
              <w:snapToGrid w:val="0"/>
              <w:rPr>
                <w:rFonts w:ascii="Times New Roman" w:hAnsi="Times New Roman"/>
                <w:kern w:val="0"/>
                <w:sz w:val="24"/>
                <w:szCs w:val="21"/>
              </w:rPr>
            </w:pPr>
            <w:r>
              <w:rPr>
                <w:rFonts w:hint="eastAsia" w:ascii="Times New Roman" w:hAnsi="Times New Roman"/>
                <w:kern w:val="0"/>
                <w:sz w:val="24"/>
                <w:szCs w:val="21"/>
              </w:rPr>
              <w:t>AEA投资者有限合伙企业与不列颠哥伦比亚投资管理公司收购Pave America控股有限责任公司股权案（“</w:t>
            </w:r>
            <w:r>
              <w:rPr>
                <w:rFonts w:hint="eastAsia" w:ascii="Times New Roman" w:hAnsi="Times New Roman"/>
                <w:b/>
                <w:bCs/>
                <w:kern w:val="0"/>
                <w:sz w:val="24"/>
                <w:szCs w:val="21"/>
              </w:rPr>
              <w:t>本次交易</w:t>
            </w:r>
            <w:r>
              <w:rPr>
                <w:rFonts w:hint="eastAsia" w:ascii="Times New Roman" w:hAnsi="Times New Roman"/>
                <w:kern w:val="0"/>
                <w:sz w:val="24"/>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4" w:hRule="atLeast"/>
          <w:jc w:val="center"/>
        </w:trPr>
        <w:tc>
          <w:tcPr>
            <w:tcW w:w="1809" w:type="dxa"/>
            <w:shd w:val="clear" w:color="auto" w:fill="D9D9D9"/>
            <w:vAlign w:val="center"/>
          </w:tcPr>
          <w:p>
            <w:pPr>
              <w:snapToGrid w:val="0"/>
              <w:jc w:val="left"/>
              <w:rPr>
                <w:rFonts w:ascii="Times New Roman" w:hAnsi="Times New Roman"/>
                <w:color w:val="333333"/>
                <w:kern w:val="0"/>
                <w:sz w:val="24"/>
                <w:szCs w:val="21"/>
              </w:rPr>
            </w:pPr>
            <w:r>
              <w:rPr>
                <w:rFonts w:ascii="Times New Roman" w:hAnsi="Times New Roman"/>
                <w:color w:val="333333"/>
                <w:kern w:val="0"/>
                <w:sz w:val="24"/>
                <w:szCs w:val="21"/>
              </w:rPr>
              <w:t>交易概况</w:t>
            </w:r>
          </w:p>
          <w:p>
            <w:pPr>
              <w:snapToGrid w:val="0"/>
              <w:jc w:val="left"/>
              <w:rPr>
                <w:rFonts w:ascii="Times New Roman" w:hAnsi="Times New Roman"/>
                <w:color w:val="333333"/>
                <w:kern w:val="0"/>
                <w:sz w:val="24"/>
                <w:szCs w:val="21"/>
              </w:rPr>
            </w:pPr>
            <w:r>
              <w:rPr>
                <w:rFonts w:ascii="Times New Roman" w:hAnsi="Times New Roman"/>
                <w:color w:val="333333"/>
                <w:kern w:val="0"/>
                <w:sz w:val="24"/>
                <w:szCs w:val="21"/>
              </w:rPr>
              <w:t>（限200字内）</w:t>
            </w:r>
          </w:p>
        </w:tc>
        <w:tc>
          <w:tcPr>
            <w:tcW w:w="7400" w:type="dxa"/>
            <w:gridSpan w:val="2"/>
            <w:vAlign w:val="center"/>
          </w:tcPr>
          <w:p>
            <w:pPr>
              <w:snapToGrid w:val="0"/>
              <w:rPr>
                <w:rFonts w:ascii="Times New Roman" w:hAnsi="Times New Roman"/>
                <w:kern w:val="0"/>
                <w:sz w:val="24"/>
                <w:szCs w:val="21"/>
              </w:rPr>
            </w:pPr>
            <w:r>
              <w:rPr>
                <w:rFonts w:hint="eastAsia" w:ascii="Times New Roman" w:hAnsi="Times New Roman"/>
                <w:kern w:val="0"/>
                <w:sz w:val="24"/>
                <w:szCs w:val="21"/>
              </w:rPr>
              <w:t>AEA投资者有限合伙企业（</w:t>
            </w:r>
            <w:r>
              <w:rPr>
                <w:rFonts w:ascii="Times New Roman" w:hAnsi="Times New Roman"/>
                <w:kern w:val="0"/>
                <w:sz w:val="24"/>
                <w:szCs w:val="21"/>
              </w:rPr>
              <w:t>“</w:t>
            </w:r>
            <w:r>
              <w:rPr>
                <w:rFonts w:hint="eastAsia" w:ascii="Times New Roman" w:hAnsi="Times New Roman"/>
                <w:b/>
                <w:kern w:val="0"/>
                <w:sz w:val="24"/>
                <w:szCs w:val="21"/>
              </w:rPr>
              <w:t>AEA</w:t>
            </w:r>
            <w:r>
              <w:rPr>
                <w:rFonts w:ascii="Times New Roman" w:hAnsi="Times New Roman"/>
                <w:kern w:val="0"/>
                <w:sz w:val="24"/>
                <w:szCs w:val="21"/>
              </w:rPr>
              <w:t>”</w:t>
            </w:r>
            <w:r>
              <w:rPr>
                <w:rFonts w:hint="eastAsia" w:ascii="Times New Roman" w:hAnsi="Times New Roman"/>
                <w:kern w:val="0"/>
                <w:sz w:val="24"/>
                <w:szCs w:val="21"/>
              </w:rPr>
              <w:t>）和不列颠哥伦比亚投资管理公司（“</w:t>
            </w:r>
            <w:r>
              <w:rPr>
                <w:rFonts w:hint="eastAsia" w:ascii="Times New Roman" w:hAnsi="Times New Roman"/>
                <w:b/>
                <w:bCs/>
                <w:kern w:val="0"/>
                <w:sz w:val="24"/>
                <w:szCs w:val="21"/>
              </w:rPr>
              <w:t>BCI</w:t>
            </w:r>
            <w:r>
              <w:rPr>
                <w:rFonts w:hint="eastAsia" w:ascii="Times New Roman" w:hAnsi="Times New Roman"/>
                <w:kern w:val="0"/>
                <w:sz w:val="24"/>
                <w:szCs w:val="21"/>
              </w:rPr>
              <w:t>”），通过其发起的基金和/或控制的关联企业，与Pave America控股有限责任公司（“</w:t>
            </w:r>
            <w:r>
              <w:rPr>
                <w:rFonts w:hint="eastAsia" w:ascii="Times New Roman" w:hAnsi="Times New Roman"/>
                <w:b/>
                <w:bCs/>
                <w:kern w:val="0"/>
                <w:sz w:val="24"/>
                <w:szCs w:val="21"/>
              </w:rPr>
              <w:t>目标公司</w:t>
            </w:r>
            <w:r>
              <w:rPr>
                <w:rFonts w:hint="eastAsia" w:ascii="Times New Roman" w:hAnsi="Times New Roman"/>
                <w:kern w:val="0"/>
                <w:sz w:val="24"/>
                <w:szCs w:val="21"/>
              </w:rPr>
              <w:t>”）及其当前股东，包括由Shoreline Equity Partners, LLC（“</w:t>
            </w:r>
            <w:r>
              <w:rPr>
                <w:rFonts w:hint="eastAsia" w:ascii="Times New Roman" w:hAnsi="Times New Roman"/>
                <w:b/>
                <w:bCs/>
                <w:kern w:val="0"/>
                <w:sz w:val="24"/>
                <w:szCs w:val="21"/>
              </w:rPr>
              <w:t>Shoreline</w:t>
            </w:r>
            <w:r>
              <w:rPr>
                <w:rFonts w:hint="eastAsia" w:ascii="Times New Roman" w:hAnsi="Times New Roman"/>
                <w:kern w:val="0"/>
                <w:sz w:val="24"/>
                <w:szCs w:val="21"/>
              </w:rPr>
              <w:t>”）和Trivest Partners LP（“</w:t>
            </w:r>
            <w:r>
              <w:rPr>
                <w:rFonts w:hint="eastAsia" w:ascii="Times New Roman" w:hAnsi="Times New Roman"/>
                <w:b/>
                <w:bCs/>
                <w:kern w:val="0"/>
                <w:sz w:val="24"/>
                <w:szCs w:val="21"/>
              </w:rPr>
              <w:t>Trivest</w:t>
            </w:r>
            <w:r>
              <w:rPr>
                <w:rFonts w:hint="eastAsia" w:ascii="Times New Roman" w:hAnsi="Times New Roman"/>
                <w:kern w:val="0"/>
                <w:sz w:val="24"/>
                <w:szCs w:val="21"/>
              </w:rPr>
              <w:t>”）控制的实体（间接通过Shoreline和Trivest发起的基金和/或控制的关联企业），签订了交易协议。根据该协议，由AEA和BCI发起的基金将间接收购目标公司的</w:t>
            </w:r>
            <w:r>
              <w:rPr>
                <w:rFonts w:hint="eastAsia" w:ascii="Times New Roman" w:hAnsi="Times New Roman"/>
                <w:color w:val="auto"/>
                <w:kern w:val="0"/>
                <w:sz w:val="24"/>
                <w:szCs w:val="21"/>
              </w:rPr>
              <w:t>部分股权</w:t>
            </w:r>
            <w:r>
              <w:rPr>
                <w:rFonts w:hint="eastAsia" w:ascii="Times New Roman" w:hAnsi="Times New Roman"/>
                <w:kern w:val="0"/>
                <w:sz w:val="24"/>
                <w:szCs w:val="21"/>
              </w:rPr>
              <w:t>及共同控制权。目标公司仅在美国从事公路工程施工业务。</w:t>
            </w:r>
            <w:bookmarkStart w:id="0" w:name="_GoBack"/>
            <w:bookmarkEnd w:id="0"/>
          </w:p>
          <w:p>
            <w:pPr>
              <w:snapToGrid w:val="0"/>
              <w:rPr>
                <w:rFonts w:ascii="Times New Roman" w:hAnsi="Times New Roman"/>
                <w:kern w:val="0"/>
                <w:sz w:val="24"/>
                <w:szCs w:val="21"/>
              </w:rPr>
            </w:pPr>
          </w:p>
          <w:p>
            <w:pPr>
              <w:snapToGrid w:val="0"/>
              <w:rPr>
                <w:rFonts w:ascii="Times New Roman" w:hAnsi="Times New Roman"/>
                <w:sz w:val="24"/>
                <w:szCs w:val="21"/>
              </w:rPr>
            </w:pPr>
            <w:r>
              <w:rPr>
                <w:rFonts w:hint="eastAsia" w:ascii="Times New Roman" w:hAnsi="Times New Roman"/>
                <w:kern w:val="0"/>
                <w:sz w:val="24"/>
                <w:szCs w:val="21"/>
              </w:rPr>
              <w:t>目标公司目前由Shoreline和Trivest共同控制。本次交易完成后，目标公司将由AEA和BCI共同控制。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1" w:hRule="atLeast"/>
          <w:jc w:val="center"/>
        </w:trPr>
        <w:tc>
          <w:tcPr>
            <w:tcW w:w="1809" w:type="dxa"/>
            <w:vMerge w:val="restart"/>
            <w:shd w:val="clear" w:color="auto" w:fill="D9D9D9"/>
            <w:vAlign w:val="center"/>
          </w:tcPr>
          <w:p>
            <w:pPr>
              <w:snapToGrid w:val="0"/>
              <w:jc w:val="left"/>
              <w:rPr>
                <w:rFonts w:ascii="Times New Roman" w:hAnsi="Times New Roman"/>
                <w:color w:val="333333"/>
                <w:kern w:val="0"/>
                <w:sz w:val="24"/>
                <w:szCs w:val="21"/>
              </w:rPr>
            </w:pPr>
            <w:r>
              <w:rPr>
                <w:rFonts w:ascii="Times New Roman" w:hAnsi="Times New Roman"/>
                <w:color w:val="333333"/>
                <w:kern w:val="0"/>
                <w:sz w:val="24"/>
                <w:szCs w:val="21"/>
              </w:rPr>
              <w:t>参与集中的</w:t>
            </w:r>
          </w:p>
          <w:p>
            <w:pPr>
              <w:snapToGrid w:val="0"/>
              <w:jc w:val="left"/>
              <w:rPr>
                <w:rFonts w:ascii="Times New Roman" w:hAnsi="Times New Roman"/>
                <w:color w:val="333333"/>
                <w:kern w:val="0"/>
                <w:sz w:val="24"/>
                <w:szCs w:val="21"/>
              </w:rPr>
            </w:pPr>
            <w:r>
              <w:rPr>
                <w:rFonts w:ascii="Times New Roman" w:hAnsi="Times New Roman"/>
                <w:color w:val="333333"/>
                <w:kern w:val="0"/>
                <w:sz w:val="24"/>
                <w:szCs w:val="21"/>
              </w:rPr>
              <w:t>经营者简介</w:t>
            </w:r>
            <w:r>
              <w:rPr>
                <w:rFonts w:hint="eastAsia" w:ascii="Times New Roman" w:hAnsi="Times New Roman" w:cs="宋体"/>
                <w:bCs/>
                <w:color w:val="000000"/>
                <w:sz w:val="24"/>
                <w:szCs w:val="24"/>
                <w:lang w:val="en-GB"/>
              </w:rPr>
              <w:t>（每个限</w:t>
            </w:r>
            <w:r>
              <w:rPr>
                <w:rFonts w:hint="eastAsia" w:ascii="Times New Roman" w:hAnsi="Times New Roman" w:cs="宋体"/>
                <w:bCs/>
                <w:color w:val="000000"/>
                <w:sz w:val="24"/>
                <w:szCs w:val="24"/>
              </w:rPr>
              <w:t>100字以内</w:t>
            </w:r>
            <w:r>
              <w:rPr>
                <w:rFonts w:hint="eastAsia" w:ascii="Times New Roman" w:hAnsi="Times New Roman" w:cs="宋体"/>
                <w:bCs/>
                <w:color w:val="000000"/>
                <w:sz w:val="24"/>
                <w:szCs w:val="24"/>
                <w:lang w:val="en-GB"/>
              </w:rPr>
              <w:t>）</w:t>
            </w:r>
          </w:p>
        </w:tc>
        <w:tc>
          <w:tcPr>
            <w:tcW w:w="1588" w:type="dxa"/>
          </w:tcPr>
          <w:p>
            <w:pPr>
              <w:snapToGrid w:val="0"/>
              <w:rPr>
                <w:rFonts w:ascii="Times New Roman" w:hAnsi="Times New Roman"/>
                <w:color w:val="333333"/>
                <w:kern w:val="0"/>
                <w:sz w:val="24"/>
                <w:szCs w:val="21"/>
              </w:rPr>
            </w:pPr>
            <w:r>
              <w:rPr>
                <w:rFonts w:hint="eastAsia" w:ascii="Times New Roman" w:hAnsi="Times New Roman"/>
                <w:color w:val="333333"/>
                <w:kern w:val="0"/>
                <w:sz w:val="24"/>
                <w:szCs w:val="21"/>
              </w:rPr>
              <w:t>AEA</w:t>
            </w:r>
          </w:p>
        </w:tc>
        <w:tc>
          <w:tcPr>
            <w:tcW w:w="5812" w:type="dxa"/>
          </w:tcPr>
          <w:p>
            <w:pPr>
              <w:snapToGrid w:val="0"/>
              <w:rPr>
                <w:rFonts w:ascii="Times New Roman" w:hAnsi="Times New Roman" w:eastAsiaTheme="minorEastAsia"/>
                <w:color w:val="000000" w:themeColor="text1"/>
                <w:sz w:val="24"/>
                <w:szCs w:val="24"/>
                <w14:textFill>
                  <w14:solidFill>
                    <w14:schemeClr w14:val="tx1"/>
                  </w14:solidFill>
                </w14:textFill>
              </w:rPr>
            </w:pPr>
            <w:r>
              <w:rPr>
                <w:rFonts w:hint="eastAsia" w:ascii="Times New Roman" w:hAnsi="Times New Roman"/>
                <w:sz w:val="24"/>
                <w:szCs w:val="24"/>
              </w:rPr>
              <w:t>AEA于2</w:t>
            </w:r>
            <w:r>
              <w:rPr>
                <w:rFonts w:ascii="Times New Roman" w:hAnsi="Times New Roman"/>
                <w:sz w:val="24"/>
                <w:szCs w:val="24"/>
              </w:rPr>
              <w:t>002</w:t>
            </w:r>
            <w:r>
              <w:rPr>
                <w:rFonts w:hint="eastAsia" w:ascii="Times New Roman" w:hAnsi="Times New Roman"/>
                <w:sz w:val="24"/>
                <w:szCs w:val="24"/>
              </w:rPr>
              <w:t>年6月1</w:t>
            </w:r>
            <w:r>
              <w:rPr>
                <w:rFonts w:ascii="Times New Roman" w:hAnsi="Times New Roman"/>
                <w:sz w:val="24"/>
                <w:szCs w:val="24"/>
              </w:rPr>
              <w:t>7</w:t>
            </w:r>
            <w:r>
              <w:rPr>
                <w:rFonts w:hint="eastAsia" w:ascii="Times New Roman" w:hAnsi="Times New Roman"/>
                <w:sz w:val="24"/>
                <w:szCs w:val="24"/>
              </w:rPr>
              <w:t>日成立于美国（且目前仍活跃在美国），属于一家美国私募股权投资集团。AEA的主要业务是</w:t>
            </w:r>
            <w:r>
              <w:rPr>
                <w:rFonts w:hint="eastAsia" w:ascii="Times New Roman" w:hAnsi="Times New Roman"/>
                <w:sz w:val="24"/>
                <w:szCs w:val="24"/>
                <w:lang w:val="en"/>
              </w:rPr>
              <w:t>通过旗下基金的普通合伙人为私募基金发现投资机会并通过投资工具设计投资交易架构，管理并处置上述投资，从而为私募基金的投资人创造收益</w:t>
            </w:r>
            <w:r>
              <w:rPr>
                <w:rFonts w:ascii="Times New Roman" w:hAnsi="Times New Roman"/>
                <w:sz w:val="24"/>
                <w:szCs w:val="24"/>
                <w:lang w:val="en"/>
              </w:rPr>
              <w:t>。</w:t>
            </w:r>
            <w:r>
              <w:rPr>
                <w:rFonts w:hint="eastAsia" w:ascii="Times New Roman" w:hAnsi="Times New Roman"/>
                <w:sz w:val="24"/>
                <w:szCs w:val="24"/>
              </w:rPr>
              <w:t>AEA控制众多被投企业</w:t>
            </w:r>
            <w:r>
              <w:rPr>
                <w:rFonts w:ascii="Times New Roman" w:hAnsi="Times New Roman"/>
                <w:sz w:val="24"/>
                <w:szCs w:val="24"/>
              </w:rPr>
              <w:t>。</w:t>
            </w:r>
          </w:p>
          <w:p>
            <w:pPr>
              <w:snapToGrid w:val="0"/>
              <w:rPr>
                <w:rFonts w:ascii="Times New Roman" w:hAnsi="Times New Roman" w:eastAsiaTheme="minorEastAsia"/>
                <w:sz w:val="24"/>
                <w:szCs w:val="24"/>
              </w:rPr>
            </w:pPr>
          </w:p>
          <w:p>
            <w:pPr>
              <w:snapToGrid w:val="0"/>
              <w:rPr>
                <w:rFonts w:ascii="Times New Roman" w:hAnsi="Times New Roman"/>
                <w:sz w:val="24"/>
                <w:szCs w:val="24"/>
              </w:rPr>
            </w:pPr>
            <w:r>
              <w:rPr>
                <w:rFonts w:hint="eastAsia" w:ascii="Times New Roman" w:hAnsi="Times New Roman"/>
                <w:sz w:val="24"/>
                <w:szCs w:val="24"/>
              </w:rPr>
              <w:t>AEA的最终控制人为自然人，且在其同一控制下的关联实体的主营业务与AEA的业务基本相同。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jc w:val="center"/>
        </w:trPr>
        <w:tc>
          <w:tcPr>
            <w:tcW w:w="1809" w:type="dxa"/>
            <w:vMerge w:val="continue"/>
            <w:shd w:val="clear" w:color="auto" w:fill="D9D9D9"/>
            <w:vAlign w:val="center"/>
          </w:tcPr>
          <w:p>
            <w:pPr>
              <w:snapToGrid w:val="0"/>
              <w:jc w:val="left"/>
              <w:rPr>
                <w:rFonts w:ascii="Times New Roman" w:hAnsi="Times New Roman"/>
                <w:color w:val="333333"/>
                <w:kern w:val="0"/>
                <w:sz w:val="24"/>
                <w:szCs w:val="21"/>
              </w:rPr>
            </w:pPr>
          </w:p>
        </w:tc>
        <w:tc>
          <w:tcPr>
            <w:tcW w:w="1588" w:type="dxa"/>
          </w:tcPr>
          <w:p>
            <w:pPr>
              <w:snapToGrid w:val="0"/>
              <w:rPr>
                <w:rFonts w:ascii="Times New Roman" w:hAnsi="Times New Roman"/>
                <w:color w:val="333333"/>
                <w:kern w:val="0"/>
                <w:sz w:val="24"/>
                <w:szCs w:val="21"/>
              </w:rPr>
            </w:pPr>
            <w:r>
              <w:rPr>
                <w:rFonts w:hint="eastAsia" w:ascii="Times New Roman" w:hAnsi="Times New Roman"/>
                <w:sz w:val="24"/>
                <w:szCs w:val="21"/>
              </w:rPr>
              <w:t>BCI</w:t>
            </w:r>
          </w:p>
        </w:tc>
        <w:tc>
          <w:tcPr>
            <w:tcW w:w="5812" w:type="dxa"/>
          </w:tcPr>
          <w:p>
            <w:pPr>
              <w:adjustRightInd w:val="0"/>
              <w:snapToGrid w:val="0"/>
              <w:rPr>
                <w:rFonts w:ascii="Times New Roman" w:hAnsi="Times New Roman"/>
                <w:sz w:val="24"/>
                <w:szCs w:val="24"/>
              </w:rPr>
            </w:pPr>
            <w:r>
              <w:rPr>
                <w:rFonts w:hint="eastAsia" w:ascii="Times New Roman" w:hAnsi="Times New Roman"/>
                <w:sz w:val="24"/>
                <w:szCs w:val="24"/>
              </w:rPr>
              <w:t>BCI于1999年7月15日成立于加拿大。BCI作为加拿大不列颠哥伦比亚省政府的代理人，主要代表其客户对一系列资产类别进行投资，包括固定收益、公共股票、私募股权、基础设施、可再生资源、房地产及商业抵押贷款等。</w:t>
            </w:r>
          </w:p>
          <w:p>
            <w:pPr>
              <w:adjustRightInd w:val="0"/>
              <w:snapToGrid w:val="0"/>
              <w:rPr>
                <w:rFonts w:ascii="Times New Roman" w:hAnsi="Times New Roman"/>
                <w:sz w:val="24"/>
                <w:szCs w:val="24"/>
              </w:rPr>
            </w:pPr>
          </w:p>
          <w:p>
            <w:pPr>
              <w:snapToGrid w:val="0"/>
              <w:rPr>
                <w:rFonts w:ascii="Times New Roman" w:hAnsi="Times New Roman"/>
                <w:sz w:val="24"/>
                <w:szCs w:val="24"/>
              </w:rPr>
            </w:pPr>
            <w:r>
              <w:rPr>
                <w:rFonts w:hint="eastAsia" w:ascii="Times New Roman" w:hAnsi="Times New Roman"/>
                <w:sz w:val="24"/>
                <w:szCs w:val="24"/>
              </w:rPr>
              <w:t>BCI无最终控制人。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jc w:val="center"/>
        </w:trPr>
        <w:tc>
          <w:tcPr>
            <w:tcW w:w="1809" w:type="dxa"/>
            <w:vMerge w:val="continue"/>
            <w:shd w:val="clear" w:color="auto" w:fill="D9D9D9"/>
            <w:vAlign w:val="center"/>
          </w:tcPr>
          <w:p>
            <w:pPr>
              <w:snapToGrid w:val="0"/>
              <w:jc w:val="left"/>
              <w:rPr>
                <w:rFonts w:ascii="Times New Roman" w:hAnsi="Times New Roman"/>
                <w:color w:val="333333"/>
                <w:kern w:val="0"/>
                <w:sz w:val="24"/>
                <w:szCs w:val="21"/>
              </w:rPr>
            </w:pPr>
          </w:p>
        </w:tc>
        <w:tc>
          <w:tcPr>
            <w:tcW w:w="1588" w:type="dxa"/>
          </w:tcPr>
          <w:p>
            <w:pPr>
              <w:snapToGrid w:val="0"/>
              <w:rPr>
                <w:rFonts w:ascii="Times New Roman" w:hAnsi="Times New Roman"/>
                <w:sz w:val="24"/>
                <w:szCs w:val="21"/>
              </w:rPr>
            </w:pPr>
            <w:r>
              <w:rPr>
                <w:rFonts w:hint="eastAsia" w:ascii="Times New Roman" w:hAnsi="Times New Roman"/>
                <w:sz w:val="24"/>
                <w:lang w:val="en"/>
              </w:rPr>
              <w:t>目标公司</w:t>
            </w:r>
          </w:p>
        </w:tc>
        <w:tc>
          <w:tcPr>
            <w:tcW w:w="5812" w:type="dxa"/>
          </w:tcPr>
          <w:p>
            <w:pPr>
              <w:adjustRightInd w:val="0"/>
              <w:snapToGrid w:val="0"/>
              <w:rPr>
                <w:rFonts w:ascii="Times New Roman" w:hAnsi="Times New Roman"/>
                <w:sz w:val="24"/>
                <w:szCs w:val="21"/>
              </w:rPr>
            </w:pPr>
            <w:r>
              <w:rPr>
                <w:rFonts w:hint="eastAsia" w:ascii="Times New Roman" w:hAnsi="Times New Roman"/>
                <w:sz w:val="24"/>
                <w:lang w:val="en"/>
              </w:rPr>
              <w:t>目标公司</w:t>
            </w:r>
            <w:r>
              <w:rPr>
                <w:rFonts w:hint="eastAsia" w:ascii="Times New Roman" w:hAnsi="Times New Roman"/>
                <w:sz w:val="24"/>
                <w:szCs w:val="21"/>
              </w:rPr>
              <w:t>于2023年1月26日在美国成立。</w:t>
            </w:r>
            <w:r>
              <w:rPr>
                <w:rFonts w:hint="eastAsia" w:ascii="Times New Roman" w:hAnsi="Times New Roman"/>
                <w:sz w:val="24"/>
                <w:lang w:val="en"/>
              </w:rPr>
              <w:t>目标公司</w:t>
            </w:r>
            <w:r>
              <w:rPr>
                <w:rFonts w:hint="eastAsia" w:ascii="Times New Roman" w:hAnsi="Times New Roman"/>
                <w:sz w:val="24"/>
                <w:szCs w:val="21"/>
              </w:rPr>
              <w:t>主要在美国50个州开展公路工程施工业务，专注于从事道路、路缘、人行道和停车场等各类铺装路面的新建与维护。</w:t>
            </w:r>
          </w:p>
          <w:p>
            <w:pPr>
              <w:adjustRightInd w:val="0"/>
              <w:snapToGrid w:val="0"/>
              <w:rPr>
                <w:rFonts w:ascii="Times New Roman" w:hAnsi="Times New Roman"/>
                <w:sz w:val="24"/>
                <w:szCs w:val="21"/>
              </w:rPr>
            </w:pPr>
          </w:p>
          <w:p>
            <w:pPr>
              <w:adjustRightInd w:val="0"/>
              <w:snapToGrid w:val="0"/>
              <w:rPr>
                <w:rFonts w:ascii="Times New Roman" w:hAnsi="Times New Roman"/>
                <w:sz w:val="24"/>
                <w:szCs w:val="21"/>
              </w:rPr>
            </w:pPr>
            <w:r>
              <w:rPr>
                <w:rFonts w:hint="eastAsia" w:ascii="Times New Roman" w:hAnsi="Times New Roman"/>
                <w:sz w:val="24"/>
                <w:szCs w:val="21"/>
              </w:rPr>
              <w:t>目前，</w:t>
            </w:r>
            <w:r>
              <w:rPr>
                <w:rFonts w:hint="eastAsia" w:ascii="Times New Roman" w:hAnsi="Times New Roman"/>
                <w:sz w:val="24"/>
                <w:lang w:val="en"/>
              </w:rPr>
              <w:t>目标公司</w:t>
            </w:r>
            <w:r>
              <w:rPr>
                <w:rFonts w:hint="eastAsia" w:ascii="Times New Roman" w:hAnsi="Times New Roman"/>
                <w:sz w:val="24"/>
                <w:szCs w:val="21"/>
              </w:rPr>
              <w:t>的最终控制人为Shoreline和Trivest。Shoreline是一家总部位于佛罗里达州杰克逊维尔的针对中小型市场的私募股权公司，专注于在美国各地寻求投资机会。Trivest是一家专注于投资创始人所有企业的美国私募股权公司。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09" w:type="dxa"/>
            <w:vMerge w:val="restart"/>
            <w:shd w:val="clear" w:color="auto" w:fill="D9D9D9"/>
            <w:vAlign w:val="center"/>
          </w:tcPr>
          <w:p>
            <w:pPr>
              <w:snapToGrid w:val="0"/>
              <w:jc w:val="left"/>
              <w:rPr>
                <w:rFonts w:ascii="Times New Roman" w:hAnsi="Times New Roman"/>
                <w:color w:val="333333"/>
                <w:kern w:val="0"/>
                <w:sz w:val="24"/>
                <w:szCs w:val="21"/>
              </w:rPr>
            </w:pPr>
            <w:r>
              <w:rPr>
                <w:rFonts w:ascii="Times New Roman" w:hAnsi="Times New Roman"/>
                <w:color w:val="333333"/>
                <w:kern w:val="0"/>
                <w:sz w:val="24"/>
                <w:szCs w:val="21"/>
              </w:rPr>
              <w:t>简易案件理由（可以单选，也可以多选）</w:t>
            </w:r>
          </w:p>
        </w:tc>
        <w:tc>
          <w:tcPr>
            <w:tcW w:w="7400" w:type="dxa"/>
            <w:gridSpan w:val="2"/>
          </w:tcPr>
          <w:p>
            <w:pPr>
              <w:snapToGrid w:val="0"/>
              <w:rPr>
                <w:rFonts w:ascii="Times New Roman" w:hAnsi="Times New Roman"/>
                <w:bCs/>
                <w:color w:val="333333"/>
                <w:kern w:val="0"/>
                <w:sz w:val="24"/>
                <w:szCs w:val="21"/>
              </w:rPr>
            </w:pPr>
            <w:r>
              <w:rPr>
                <w:rFonts w:ascii="Times New Roman" w:hAnsi="Times New Roman"/>
                <w:color w:val="333333"/>
                <w:kern w:val="0"/>
                <w:sz w:val="24"/>
                <w:szCs w:val="21"/>
              </w:rPr>
              <w:sym w:font="Wingdings" w:char="F0A8"/>
            </w:r>
            <w:r>
              <w:rPr>
                <w:rFonts w:ascii="Times New Roman" w:hAnsi="Times New Roman"/>
                <w:bCs/>
                <w:color w:val="333333"/>
                <w:kern w:val="0"/>
                <w:sz w:val="24"/>
                <w:szCs w:val="21"/>
              </w:rPr>
              <w:t>1.在同一相关市场，所有参与集中的经营者所占市场份额之和小于15%。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09" w:type="dxa"/>
            <w:vMerge w:val="continue"/>
            <w:shd w:val="clear" w:color="auto" w:fill="D9D9D9"/>
            <w:vAlign w:val="center"/>
          </w:tcPr>
          <w:p>
            <w:pPr>
              <w:snapToGrid w:val="0"/>
              <w:jc w:val="left"/>
              <w:rPr>
                <w:rFonts w:ascii="Times New Roman" w:hAnsi="Times New Roman"/>
                <w:color w:val="333333"/>
                <w:kern w:val="0"/>
                <w:sz w:val="24"/>
                <w:szCs w:val="21"/>
              </w:rPr>
            </w:pPr>
          </w:p>
        </w:tc>
        <w:tc>
          <w:tcPr>
            <w:tcW w:w="7400" w:type="dxa"/>
            <w:gridSpan w:val="2"/>
          </w:tcPr>
          <w:p>
            <w:pPr>
              <w:snapToGrid w:val="0"/>
              <w:rPr>
                <w:rFonts w:ascii="Times New Roman" w:hAnsi="Times New Roman"/>
                <w:color w:val="333333"/>
                <w:kern w:val="0"/>
                <w:sz w:val="24"/>
                <w:szCs w:val="21"/>
              </w:rPr>
            </w:pPr>
            <w:r>
              <w:rPr>
                <w:rFonts w:ascii="Times New Roman" w:hAnsi="Times New Roman"/>
                <w:color w:val="333333"/>
                <w:kern w:val="0"/>
                <w:sz w:val="24"/>
                <w:szCs w:val="21"/>
              </w:rPr>
              <w:sym w:font="Wingdings" w:char="F0A8"/>
            </w:r>
            <w:r>
              <w:rPr>
                <w:rFonts w:ascii="Times New Roman" w:hAnsi="Times New Roman"/>
                <w:color w:val="333333"/>
                <w:kern w:val="0"/>
                <w:sz w:val="24"/>
                <w:szCs w:val="21"/>
              </w:rPr>
              <w:t>2.存在上下游关系的参与集中的经营者，在上下游市场所占的市场份额均小于25%。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09" w:type="dxa"/>
            <w:vMerge w:val="continue"/>
            <w:shd w:val="clear" w:color="auto" w:fill="D9D9D9"/>
            <w:vAlign w:val="center"/>
          </w:tcPr>
          <w:p>
            <w:pPr>
              <w:snapToGrid w:val="0"/>
              <w:jc w:val="left"/>
              <w:rPr>
                <w:rFonts w:ascii="Times New Roman" w:hAnsi="Times New Roman"/>
                <w:color w:val="333333"/>
                <w:kern w:val="0"/>
                <w:sz w:val="24"/>
                <w:szCs w:val="21"/>
              </w:rPr>
            </w:pPr>
          </w:p>
        </w:tc>
        <w:tc>
          <w:tcPr>
            <w:tcW w:w="7400" w:type="dxa"/>
            <w:gridSpan w:val="2"/>
          </w:tcPr>
          <w:p>
            <w:pPr>
              <w:snapToGrid w:val="0"/>
              <w:rPr>
                <w:rFonts w:ascii="Times New Roman" w:hAnsi="Times New Roman"/>
                <w:color w:val="333333"/>
                <w:kern w:val="0"/>
                <w:sz w:val="24"/>
                <w:szCs w:val="21"/>
              </w:rPr>
            </w:pPr>
            <w:r>
              <w:rPr>
                <w:rFonts w:ascii="Times New Roman" w:hAnsi="Times New Roman"/>
                <w:color w:val="333333"/>
                <w:kern w:val="0"/>
                <w:sz w:val="24"/>
                <w:szCs w:val="21"/>
              </w:rPr>
              <w:sym w:font="Wingdings" w:char="F0A8"/>
            </w:r>
            <w:r>
              <w:rPr>
                <w:rFonts w:ascii="Times New Roman" w:hAnsi="Times New Roman"/>
                <w:color w:val="333333"/>
                <w:kern w:val="0"/>
                <w:sz w:val="24"/>
                <w:szCs w:val="21"/>
              </w:rPr>
              <w:t>3.不在同一相关市场、也不存在上下游关系的参与集中的经营者，在与交易有关的每个市场所占的份额均小于25%。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09" w:type="dxa"/>
            <w:vMerge w:val="continue"/>
            <w:shd w:val="clear" w:color="auto" w:fill="D9D9D9"/>
            <w:vAlign w:val="center"/>
          </w:tcPr>
          <w:p>
            <w:pPr>
              <w:snapToGrid w:val="0"/>
              <w:jc w:val="left"/>
              <w:rPr>
                <w:rFonts w:ascii="Times New Roman" w:hAnsi="Times New Roman"/>
                <w:color w:val="333333"/>
                <w:kern w:val="0"/>
                <w:sz w:val="24"/>
                <w:szCs w:val="21"/>
              </w:rPr>
            </w:pPr>
          </w:p>
        </w:tc>
        <w:tc>
          <w:tcPr>
            <w:tcW w:w="7400" w:type="dxa"/>
            <w:gridSpan w:val="2"/>
          </w:tcPr>
          <w:p>
            <w:pPr>
              <w:snapToGrid w:val="0"/>
              <w:rPr>
                <w:rFonts w:ascii="Times New Roman" w:hAnsi="Times New Roman"/>
                <w:color w:val="333333"/>
                <w:kern w:val="0"/>
                <w:sz w:val="24"/>
                <w:szCs w:val="21"/>
              </w:rPr>
            </w:pPr>
            <w:r>
              <w:rPr>
                <w:rFonts w:ascii="Times New Roman" w:hAnsi="Times New Roman"/>
                <w:color w:val="333333"/>
                <w:kern w:val="0"/>
                <w:sz w:val="24"/>
                <w:szCs w:val="21"/>
              </w:rPr>
              <w:sym w:font="Wingdings" w:char="F0A8"/>
            </w:r>
            <w:r>
              <w:rPr>
                <w:rFonts w:ascii="Times New Roman" w:hAnsi="Times New Roman"/>
                <w:color w:val="333333"/>
                <w:kern w:val="0"/>
                <w:sz w:val="24"/>
                <w:szCs w:val="21"/>
              </w:rPr>
              <w:t>4.参与集中的经营者在中国境外设立合营企业，合营企业不在中国境内从事经济活动。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09" w:type="dxa"/>
            <w:vMerge w:val="continue"/>
            <w:shd w:val="clear" w:color="auto" w:fill="D9D9D9"/>
            <w:vAlign w:val="center"/>
          </w:tcPr>
          <w:p>
            <w:pPr>
              <w:snapToGrid w:val="0"/>
              <w:jc w:val="left"/>
              <w:rPr>
                <w:rFonts w:ascii="Times New Roman" w:hAnsi="Times New Roman"/>
                <w:color w:val="333333"/>
                <w:kern w:val="0"/>
                <w:sz w:val="24"/>
                <w:szCs w:val="21"/>
              </w:rPr>
            </w:pPr>
          </w:p>
        </w:tc>
        <w:tc>
          <w:tcPr>
            <w:tcW w:w="7400" w:type="dxa"/>
            <w:gridSpan w:val="2"/>
          </w:tcPr>
          <w:p>
            <w:pPr>
              <w:snapToGrid w:val="0"/>
              <w:rPr>
                <w:rFonts w:ascii="Times New Roman" w:hAnsi="Times New Roman"/>
                <w:color w:val="333333"/>
                <w:kern w:val="0"/>
                <w:sz w:val="24"/>
                <w:szCs w:val="21"/>
              </w:rPr>
            </w:pPr>
            <w:r>
              <w:rPr>
                <w:rFonts w:ascii="Times New Roman" w:hAnsi="Times New Roman"/>
                <w:bCs/>
                <w:color w:val="333333"/>
                <w:kern w:val="0"/>
                <w:sz w:val="24"/>
                <w:szCs w:val="21"/>
              </w:rPr>
              <w:sym w:font="Wingdings" w:char="F0FE"/>
            </w:r>
            <w:r>
              <w:rPr>
                <w:rFonts w:ascii="Times New Roman" w:hAnsi="Times New Roman"/>
                <w:color w:val="333333"/>
                <w:kern w:val="0"/>
                <w:sz w:val="24"/>
                <w:szCs w:val="21"/>
              </w:rPr>
              <w:t>5.参与集中的经营者收购境外企业股权或资产的，该境外企业不在中国境内从事经济活动。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09" w:type="dxa"/>
            <w:vMerge w:val="continue"/>
            <w:shd w:val="clear" w:color="auto" w:fill="D9D9D9"/>
            <w:vAlign w:val="center"/>
          </w:tcPr>
          <w:p>
            <w:pPr>
              <w:snapToGrid w:val="0"/>
              <w:jc w:val="left"/>
              <w:rPr>
                <w:rFonts w:ascii="Times New Roman" w:hAnsi="Times New Roman"/>
                <w:color w:val="333333"/>
                <w:kern w:val="0"/>
                <w:sz w:val="24"/>
                <w:szCs w:val="21"/>
              </w:rPr>
            </w:pPr>
          </w:p>
        </w:tc>
        <w:tc>
          <w:tcPr>
            <w:tcW w:w="7400" w:type="dxa"/>
            <w:gridSpan w:val="2"/>
          </w:tcPr>
          <w:p>
            <w:pPr>
              <w:snapToGrid w:val="0"/>
              <w:rPr>
                <w:rFonts w:ascii="Times New Roman" w:hAnsi="Times New Roman"/>
                <w:color w:val="333333"/>
                <w:kern w:val="0"/>
                <w:sz w:val="24"/>
                <w:szCs w:val="21"/>
              </w:rPr>
            </w:pPr>
            <w:r>
              <w:rPr>
                <w:rFonts w:ascii="Times New Roman" w:hAnsi="Times New Roman"/>
                <w:color w:val="333333"/>
                <w:kern w:val="0"/>
                <w:sz w:val="24"/>
                <w:szCs w:val="21"/>
              </w:rPr>
              <w:sym w:font="Wingdings" w:char="F0A8"/>
            </w:r>
            <w:r>
              <w:rPr>
                <w:rFonts w:ascii="Times New Roman" w:hAnsi="Times New Roman"/>
                <w:color w:val="333333"/>
                <w:kern w:val="0"/>
                <w:sz w:val="24"/>
                <w:szCs w:val="21"/>
              </w:rPr>
              <w:t>6.由两个以上的经营者共同控制的合营企业，通过集中被其中一个或一个以上经营者控制。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09" w:type="dxa"/>
            <w:shd w:val="clear" w:color="auto" w:fill="D9D9D9"/>
            <w:vAlign w:val="center"/>
          </w:tcPr>
          <w:p>
            <w:pPr>
              <w:snapToGrid w:val="0"/>
              <w:jc w:val="left"/>
              <w:rPr>
                <w:rFonts w:ascii="Times New Roman" w:hAnsi="Times New Roman"/>
                <w:color w:val="333333"/>
                <w:kern w:val="0"/>
                <w:sz w:val="24"/>
                <w:szCs w:val="21"/>
              </w:rPr>
            </w:pPr>
            <w:r>
              <w:rPr>
                <w:rFonts w:ascii="Times New Roman" w:hAnsi="Times New Roman"/>
                <w:color w:val="333333"/>
                <w:kern w:val="0"/>
                <w:sz w:val="24"/>
                <w:szCs w:val="21"/>
              </w:rPr>
              <w:t>备注</w:t>
            </w:r>
          </w:p>
        </w:tc>
        <w:tc>
          <w:tcPr>
            <w:tcW w:w="7400" w:type="dxa"/>
            <w:gridSpan w:val="2"/>
            <w:vAlign w:val="center"/>
          </w:tcPr>
          <w:p>
            <w:pPr>
              <w:snapToGrid w:val="0"/>
              <w:jc w:val="left"/>
              <w:rPr>
                <w:rFonts w:ascii="Times New Roman" w:hAnsi="Times New Roman"/>
                <w:bCs/>
                <w:color w:val="333333"/>
                <w:kern w:val="0"/>
                <w:sz w:val="24"/>
                <w:szCs w:val="21"/>
              </w:rPr>
            </w:pPr>
            <w:r>
              <w:rPr>
                <w:rFonts w:hint="eastAsia" w:ascii="Times New Roman" w:hAnsi="Times New Roman"/>
                <w:bCs/>
                <w:color w:val="333333"/>
                <w:kern w:val="0"/>
                <w:sz w:val="24"/>
                <w:szCs w:val="21"/>
              </w:rPr>
              <w:t>不适用</w:t>
            </w:r>
          </w:p>
        </w:tc>
      </w:tr>
    </w:tbl>
    <w:p>
      <w:pPr>
        <w:rPr>
          <w:rFonts w:ascii="Times New Roman" w:hAnsi="Times New Roman" w:eastAsia="仿宋"/>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1803A2"/>
    <w:multiLevelType w:val="multilevel"/>
    <w:tmpl w:val="661803A2"/>
    <w:lvl w:ilvl="0" w:tentative="0">
      <w:start w:val="1"/>
      <w:numFmt w:val="decimal"/>
      <w:pStyle w:val="14"/>
      <w:lvlText w:val="%1."/>
      <w:lvlJc w:val="left"/>
      <w:pPr>
        <w:tabs>
          <w:tab w:val="left" w:pos="720"/>
        </w:tabs>
        <w:ind w:left="0" w:firstLine="0"/>
      </w:pPr>
      <w:rPr>
        <w:rFonts w:ascii="Times New Roman" w:hAnsi="Times New Roman" w:cs="Times New Roman"/>
        <w:b/>
        <w:i w:val="0"/>
        <w:caps w:val="0"/>
        <w:color w:val="auto"/>
        <w:u w:val="none"/>
      </w:rPr>
    </w:lvl>
    <w:lvl w:ilvl="1" w:tentative="0">
      <w:start w:val="1"/>
      <w:numFmt w:val="decimal"/>
      <w:pStyle w:val="15"/>
      <w:lvlText w:val="%1.%2"/>
      <w:lvlJc w:val="left"/>
      <w:pPr>
        <w:tabs>
          <w:tab w:val="left" w:pos="720"/>
        </w:tabs>
        <w:ind w:left="0" w:firstLine="0"/>
      </w:pPr>
      <w:rPr>
        <w:rFonts w:ascii="Times New Roman" w:hAnsi="Times New Roman" w:cs="Times New Roman"/>
        <w:b w:val="0"/>
        <w:i w:val="0"/>
        <w:caps w:val="0"/>
        <w:color w:val="auto"/>
        <w:u w:val="none"/>
      </w:rPr>
    </w:lvl>
    <w:lvl w:ilvl="2" w:tentative="0">
      <w:start w:val="1"/>
      <w:numFmt w:val="lowerLetter"/>
      <w:pStyle w:val="16"/>
      <w:lvlText w:val="(%3)"/>
      <w:lvlJc w:val="left"/>
      <w:pPr>
        <w:tabs>
          <w:tab w:val="left" w:pos="720"/>
        </w:tabs>
        <w:ind w:left="720" w:hanging="720"/>
      </w:pPr>
      <w:rPr>
        <w:rFonts w:ascii="Times New Roman" w:hAnsi="Times New Roman" w:cs="Times New Roman"/>
        <w:b w:val="0"/>
        <w:i w:val="0"/>
        <w:caps w:val="0"/>
        <w:color w:val="auto"/>
        <w:u w:val="none"/>
      </w:rPr>
    </w:lvl>
    <w:lvl w:ilvl="3" w:tentative="0">
      <w:start w:val="1"/>
      <w:numFmt w:val="lowerRoman"/>
      <w:pStyle w:val="17"/>
      <w:lvlText w:val="(%4)"/>
      <w:lvlJc w:val="right"/>
      <w:pPr>
        <w:tabs>
          <w:tab w:val="left" w:pos="1440"/>
        </w:tabs>
        <w:ind w:left="1440" w:hanging="216"/>
      </w:pPr>
      <w:rPr>
        <w:rFonts w:ascii="Times New Roman" w:hAnsi="Times New Roman" w:cs="Times New Roman"/>
        <w:b w:val="0"/>
        <w:i w:val="0"/>
        <w:caps w:val="0"/>
        <w:color w:val="auto"/>
        <w:u w:val="none"/>
      </w:rPr>
    </w:lvl>
    <w:lvl w:ilvl="4" w:tentative="0">
      <w:start w:val="1"/>
      <w:numFmt w:val="upperLetter"/>
      <w:pStyle w:val="18"/>
      <w:lvlText w:val="(%5)"/>
      <w:lvlJc w:val="left"/>
      <w:pPr>
        <w:tabs>
          <w:tab w:val="left" w:pos="2160"/>
        </w:tabs>
        <w:ind w:left="2160" w:hanging="720"/>
      </w:pPr>
      <w:rPr>
        <w:rFonts w:ascii="Times New Roman" w:hAnsi="Times New Roman" w:cs="Times New Roman"/>
        <w:b w:val="0"/>
        <w:i w:val="0"/>
        <w:caps w:val="0"/>
        <w:color w:val="auto"/>
        <w:u w:val="none"/>
      </w:rPr>
    </w:lvl>
    <w:lvl w:ilvl="5" w:tentative="0">
      <w:start w:val="1"/>
      <w:numFmt w:val="upperRoman"/>
      <w:pStyle w:val="19"/>
      <w:lvlText w:val="(%6)"/>
      <w:lvlJc w:val="right"/>
      <w:pPr>
        <w:tabs>
          <w:tab w:val="left" w:pos="2880"/>
        </w:tabs>
        <w:ind w:left="2880" w:hanging="216"/>
      </w:pPr>
      <w:rPr>
        <w:rFonts w:ascii="Times New Roman" w:hAnsi="Times New Roman" w:cs="Times New Roman"/>
        <w:b w:val="0"/>
        <w:i w:val="0"/>
        <w:caps w:val="0"/>
        <w:color w:val="auto"/>
        <w:u w:val="none"/>
      </w:rPr>
    </w:lvl>
    <w:lvl w:ilvl="6" w:tentative="0">
      <w:start w:val="27"/>
      <w:numFmt w:val="lowerLetter"/>
      <w:pStyle w:val="20"/>
      <w:lvlText w:val="(%7)"/>
      <w:lvlJc w:val="left"/>
      <w:pPr>
        <w:tabs>
          <w:tab w:val="left" w:pos="3600"/>
        </w:tabs>
        <w:ind w:left="3600" w:hanging="720"/>
      </w:pPr>
      <w:rPr>
        <w:rFonts w:ascii="Times New Roman" w:hAnsi="Times New Roman" w:cs="Times New Roman"/>
        <w:b w:val="0"/>
        <w:i w:val="0"/>
        <w:caps w:val="0"/>
        <w:color w:val="auto"/>
        <w:u w:val="none"/>
      </w:rPr>
    </w:lvl>
    <w:lvl w:ilvl="7" w:tentative="0">
      <w:start w:val="1"/>
      <w:numFmt w:val="decimal"/>
      <w:pStyle w:val="21"/>
      <w:lvlText w:val="(%8)"/>
      <w:lvlJc w:val="left"/>
      <w:pPr>
        <w:tabs>
          <w:tab w:val="left" w:pos="4320"/>
        </w:tabs>
        <w:ind w:left="4320" w:hanging="720"/>
      </w:pPr>
      <w:rPr>
        <w:rFonts w:ascii="Times New Roman" w:hAnsi="Times New Roman" w:cs="Times New Roman"/>
        <w:b w:val="0"/>
        <w:i w:val="0"/>
        <w:caps w:val="0"/>
        <w:color w:val="auto"/>
        <w:u w:val="none"/>
      </w:rPr>
    </w:lvl>
    <w:lvl w:ilvl="8" w:tentative="0">
      <w:start w:val="1"/>
      <w:numFmt w:val="lowerRoman"/>
      <w:lvlText w:val="%9)"/>
      <w:lvlJc w:val="left"/>
      <w:pPr>
        <w:tabs>
          <w:tab w:val="left" w:pos="5760"/>
        </w:tabs>
        <w:ind w:left="5760" w:hanging="720"/>
      </w:pPr>
      <w:rPr>
        <w:rFonts w:ascii="Times New Roman" w:hAnsi="Times New Roman" w:cs="Times New Roman"/>
        <w:b w:val="0"/>
        <w:i w:val="0"/>
        <w:caps w:val="0"/>
        <w:color w:val="auto"/>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0DF"/>
    <w:rsid w:val="00007375"/>
    <w:rsid w:val="00010479"/>
    <w:rsid w:val="0001363E"/>
    <w:rsid w:val="00021027"/>
    <w:rsid w:val="00037065"/>
    <w:rsid w:val="000470E5"/>
    <w:rsid w:val="000517AE"/>
    <w:rsid w:val="00053368"/>
    <w:rsid w:val="00062BA3"/>
    <w:rsid w:val="00062E9A"/>
    <w:rsid w:val="000652FE"/>
    <w:rsid w:val="00065885"/>
    <w:rsid w:val="000819D7"/>
    <w:rsid w:val="00083613"/>
    <w:rsid w:val="00091B1E"/>
    <w:rsid w:val="00096901"/>
    <w:rsid w:val="000A096D"/>
    <w:rsid w:val="000A7097"/>
    <w:rsid w:val="000C6AE2"/>
    <w:rsid w:val="000D6321"/>
    <w:rsid w:val="000D7EBA"/>
    <w:rsid w:val="001164CD"/>
    <w:rsid w:val="0013385D"/>
    <w:rsid w:val="00155717"/>
    <w:rsid w:val="001718C0"/>
    <w:rsid w:val="001837A3"/>
    <w:rsid w:val="001C2C4E"/>
    <w:rsid w:val="001C56B2"/>
    <w:rsid w:val="001D5EFE"/>
    <w:rsid w:val="001E53AF"/>
    <w:rsid w:val="00235CBD"/>
    <w:rsid w:val="002917B8"/>
    <w:rsid w:val="002B3A21"/>
    <w:rsid w:val="002D01E4"/>
    <w:rsid w:val="002E02D4"/>
    <w:rsid w:val="002F3558"/>
    <w:rsid w:val="00300FF0"/>
    <w:rsid w:val="0030364D"/>
    <w:rsid w:val="00315756"/>
    <w:rsid w:val="00330118"/>
    <w:rsid w:val="003306F8"/>
    <w:rsid w:val="003401FB"/>
    <w:rsid w:val="00383804"/>
    <w:rsid w:val="00384A3B"/>
    <w:rsid w:val="003A5C8D"/>
    <w:rsid w:val="003B14F6"/>
    <w:rsid w:val="003C0AEB"/>
    <w:rsid w:val="003E4B9D"/>
    <w:rsid w:val="00405B91"/>
    <w:rsid w:val="00412858"/>
    <w:rsid w:val="00470CFE"/>
    <w:rsid w:val="00493857"/>
    <w:rsid w:val="004F1EEE"/>
    <w:rsid w:val="004F7688"/>
    <w:rsid w:val="004F7B86"/>
    <w:rsid w:val="0050638D"/>
    <w:rsid w:val="00522527"/>
    <w:rsid w:val="00525D33"/>
    <w:rsid w:val="00542FA4"/>
    <w:rsid w:val="00556B93"/>
    <w:rsid w:val="005B7098"/>
    <w:rsid w:val="005F243B"/>
    <w:rsid w:val="005F4669"/>
    <w:rsid w:val="005F52FF"/>
    <w:rsid w:val="00610F2E"/>
    <w:rsid w:val="00626986"/>
    <w:rsid w:val="00632AD7"/>
    <w:rsid w:val="00643B4D"/>
    <w:rsid w:val="006467D8"/>
    <w:rsid w:val="00665C93"/>
    <w:rsid w:val="00666EB6"/>
    <w:rsid w:val="00673309"/>
    <w:rsid w:val="006A05E6"/>
    <w:rsid w:val="006A336F"/>
    <w:rsid w:val="006A531B"/>
    <w:rsid w:val="006C14DD"/>
    <w:rsid w:val="006C50A8"/>
    <w:rsid w:val="006F2C64"/>
    <w:rsid w:val="006F3A2A"/>
    <w:rsid w:val="006F3FB2"/>
    <w:rsid w:val="006F7693"/>
    <w:rsid w:val="00710140"/>
    <w:rsid w:val="007118AA"/>
    <w:rsid w:val="00714F89"/>
    <w:rsid w:val="00726B9D"/>
    <w:rsid w:val="007367C1"/>
    <w:rsid w:val="00741712"/>
    <w:rsid w:val="00745CAD"/>
    <w:rsid w:val="00753E0E"/>
    <w:rsid w:val="00761217"/>
    <w:rsid w:val="007835BD"/>
    <w:rsid w:val="007B5233"/>
    <w:rsid w:val="007C4478"/>
    <w:rsid w:val="007E0D65"/>
    <w:rsid w:val="007F2275"/>
    <w:rsid w:val="007F50D7"/>
    <w:rsid w:val="00804778"/>
    <w:rsid w:val="008102A7"/>
    <w:rsid w:val="00811B07"/>
    <w:rsid w:val="00813A44"/>
    <w:rsid w:val="0081637E"/>
    <w:rsid w:val="0082668B"/>
    <w:rsid w:val="008341BD"/>
    <w:rsid w:val="008377FB"/>
    <w:rsid w:val="008428A7"/>
    <w:rsid w:val="008579ED"/>
    <w:rsid w:val="00857B92"/>
    <w:rsid w:val="008765B3"/>
    <w:rsid w:val="008A3F7C"/>
    <w:rsid w:val="008A6851"/>
    <w:rsid w:val="008B2E49"/>
    <w:rsid w:val="008B3329"/>
    <w:rsid w:val="008B595A"/>
    <w:rsid w:val="008C7B21"/>
    <w:rsid w:val="008F41B9"/>
    <w:rsid w:val="009012F9"/>
    <w:rsid w:val="00915F0F"/>
    <w:rsid w:val="00930298"/>
    <w:rsid w:val="009532DF"/>
    <w:rsid w:val="0095405F"/>
    <w:rsid w:val="00962CEF"/>
    <w:rsid w:val="00965177"/>
    <w:rsid w:val="00971046"/>
    <w:rsid w:val="00997019"/>
    <w:rsid w:val="009A5029"/>
    <w:rsid w:val="009C4E61"/>
    <w:rsid w:val="009D38D5"/>
    <w:rsid w:val="009D3C6C"/>
    <w:rsid w:val="009E46A6"/>
    <w:rsid w:val="00A01267"/>
    <w:rsid w:val="00A53F26"/>
    <w:rsid w:val="00A629C9"/>
    <w:rsid w:val="00AA0CC5"/>
    <w:rsid w:val="00AA0F72"/>
    <w:rsid w:val="00AA55E9"/>
    <w:rsid w:val="00AB1837"/>
    <w:rsid w:val="00AB1989"/>
    <w:rsid w:val="00AF000A"/>
    <w:rsid w:val="00AF42BF"/>
    <w:rsid w:val="00B00A13"/>
    <w:rsid w:val="00B04F67"/>
    <w:rsid w:val="00B14FA5"/>
    <w:rsid w:val="00B160D5"/>
    <w:rsid w:val="00B16AFE"/>
    <w:rsid w:val="00B27757"/>
    <w:rsid w:val="00B32A10"/>
    <w:rsid w:val="00B36514"/>
    <w:rsid w:val="00B40BC3"/>
    <w:rsid w:val="00B52D10"/>
    <w:rsid w:val="00B63430"/>
    <w:rsid w:val="00B65DD5"/>
    <w:rsid w:val="00BA0CB4"/>
    <w:rsid w:val="00BA595D"/>
    <w:rsid w:val="00BC6296"/>
    <w:rsid w:val="00BD10B6"/>
    <w:rsid w:val="00BF56EB"/>
    <w:rsid w:val="00C02F4F"/>
    <w:rsid w:val="00C07076"/>
    <w:rsid w:val="00C169F5"/>
    <w:rsid w:val="00C60180"/>
    <w:rsid w:val="00C70388"/>
    <w:rsid w:val="00CA1090"/>
    <w:rsid w:val="00CA1E2E"/>
    <w:rsid w:val="00CB00DF"/>
    <w:rsid w:val="00CE0857"/>
    <w:rsid w:val="00CE149E"/>
    <w:rsid w:val="00D73546"/>
    <w:rsid w:val="00D73C72"/>
    <w:rsid w:val="00DA040C"/>
    <w:rsid w:val="00DE7F07"/>
    <w:rsid w:val="00E0592B"/>
    <w:rsid w:val="00E06998"/>
    <w:rsid w:val="00E1479B"/>
    <w:rsid w:val="00E17743"/>
    <w:rsid w:val="00E31317"/>
    <w:rsid w:val="00E31738"/>
    <w:rsid w:val="00E501D7"/>
    <w:rsid w:val="00E86786"/>
    <w:rsid w:val="00EA5BC7"/>
    <w:rsid w:val="00EA727A"/>
    <w:rsid w:val="00ED2F80"/>
    <w:rsid w:val="00EE0F53"/>
    <w:rsid w:val="00F14056"/>
    <w:rsid w:val="00F1624E"/>
    <w:rsid w:val="00F167D7"/>
    <w:rsid w:val="00F16E22"/>
    <w:rsid w:val="00F2203E"/>
    <w:rsid w:val="00F32F8A"/>
    <w:rsid w:val="00F33222"/>
    <w:rsid w:val="00F33ECD"/>
    <w:rsid w:val="00F61FF8"/>
    <w:rsid w:val="00F711DB"/>
    <w:rsid w:val="00F810AA"/>
    <w:rsid w:val="00F81A58"/>
    <w:rsid w:val="00F838A0"/>
    <w:rsid w:val="00F864D3"/>
    <w:rsid w:val="00F9018A"/>
    <w:rsid w:val="00FA2267"/>
    <w:rsid w:val="00FB43EC"/>
    <w:rsid w:val="00FB6B40"/>
    <w:rsid w:val="00FC3B46"/>
    <w:rsid w:val="5FAEFB57"/>
    <w:rsid w:val="6F661FB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2"/>
    <w:semiHidden/>
    <w:unhideWhenUsed/>
    <w:qFormat/>
    <w:uiPriority w:val="99"/>
    <w:pPr>
      <w:jc w:val="left"/>
    </w:pPr>
  </w:style>
  <w:style w:type="paragraph" w:styleId="3">
    <w:name w:val="Balloon Text"/>
    <w:basedOn w:val="1"/>
    <w:link w:val="13"/>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2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5"/>
    <w:qFormat/>
    <w:uiPriority w:val="99"/>
    <w:rPr>
      <w:rFonts w:ascii="Calibri" w:hAnsi="Calibri" w:eastAsia="宋体" w:cs="Times New Roman"/>
      <w:sz w:val="18"/>
      <w:szCs w:val="18"/>
    </w:rPr>
  </w:style>
  <w:style w:type="character" w:customStyle="1" w:styleId="11">
    <w:name w:val="页脚 字符"/>
    <w:basedOn w:val="8"/>
    <w:link w:val="4"/>
    <w:qFormat/>
    <w:uiPriority w:val="99"/>
    <w:rPr>
      <w:rFonts w:ascii="Calibri" w:hAnsi="Calibri" w:eastAsia="宋体" w:cs="Times New Roman"/>
      <w:sz w:val="18"/>
      <w:szCs w:val="18"/>
    </w:rPr>
  </w:style>
  <w:style w:type="paragraph" w:styleId="12">
    <w:name w:val="List Paragraph"/>
    <w:basedOn w:val="1"/>
    <w:qFormat/>
    <w:uiPriority w:val="34"/>
    <w:pPr>
      <w:ind w:firstLine="420" w:firstLineChars="200"/>
    </w:pPr>
  </w:style>
  <w:style w:type="character" w:customStyle="1" w:styleId="13">
    <w:name w:val="批注框文本 字符"/>
    <w:basedOn w:val="8"/>
    <w:link w:val="3"/>
    <w:semiHidden/>
    <w:qFormat/>
    <w:uiPriority w:val="99"/>
    <w:rPr>
      <w:rFonts w:ascii="Calibri" w:hAnsi="Calibri" w:eastAsia="宋体" w:cs="Times New Roman"/>
      <w:sz w:val="18"/>
      <w:szCs w:val="18"/>
    </w:rPr>
  </w:style>
  <w:style w:type="paragraph" w:customStyle="1" w:styleId="14">
    <w:name w:val="FWB_L1"/>
    <w:basedOn w:val="1"/>
    <w:next w:val="15"/>
    <w:qFormat/>
    <w:uiPriority w:val="0"/>
    <w:pPr>
      <w:keepNext/>
      <w:keepLines/>
      <w:widowControl/>
      <w:numPr>
        <w:ilvl w:val="0"/>
        <w:numId w:val="1"/>
      </w:numPr>
      <w:spacing w:after="240"/>
      <w:jc w:val="left"/>
      <w:outlineLvl w:val="0"/>
    </w:pPr>
    <w:rPr>
      <w:rFonts w:ascii="Times New Roman" w:hAnsi="Times New Roman" w:eastAsia="Times New Roman"/>
      <w:b/>
      <w:smallCaps/>
      <w:kern w:val="0"/>
      <w:sz w:val="24"/>
      <w:szCs w:val="20"/>
      <w:lang w:eastAsia="en-US"/>
    </w:rPr>
  </w:style>
  <w:style w:type="paragraph" w:customStyle="1" w:styleId="15">
    <w:name w:val="FWB_L2"/>
    <w:basedOn w:val="14"/>
    <w:qFormat/>
    <w:uiPriority w:val="0"/>
    <w:pPr>
      <w:keepNext w:val="0"/>
      <w:keepLines w:val="0"/>
      <w:numPr>
        <w:ilvl w:val="1"/>
      </w:numPr>
      <w:jc w:val="both"/>
      <w:outlineLvl w:val="9"/>
    </w:pPr>
    <w:rPr>
      <w:b w:val="0"/>
      <w:smallCaps w:val="0"/>
    </w:rPr>
  </w:style>
  <w:style w:type="paragraph" w:customStyle="1" w:styleId="16">
    <w:name w:val="FWB_L3"/>
    <w:basedOn w:val="15"/>
    <w:qFormat/>
    <w:uiPriority w:val="0"/>
    <w:pPr>
      <w:numPr>
        <w:ilvl w:val="2"/>
      </w:numPr>
    </w:pPr>
  </w:style>
  <w:style w:type="paragraph" w:customStyle="1" w:styleId="17">
    <w:name w:val="FWB_L4"/>
    <w:basedOn w:val="16"/>
    <w:qFormat/>
    <w:uiPriority w:val="0"/>
    <w:pPr>
      <w:numPr>
        <w:ilvl w:val="3"/>
      </w:numPr>
    </w:pPr>
  </w:style>
  <w:style w:type="paragraph" w:customStyle="1" w:styleId="18">
    <w:name w:val="FWB_L5"/>
    <w:basedOn w:val="17"/>
    <w:qFormat/>
    <w:uiPriority w:val="0"/>
    <w:pPr>
      <w:numPr>
        <w:ilvl w:val="4"/>
      </w:numPr>
      <w:tabs>
        <w:tab w:val="left" w:pos="1440"/>
      </w:tabs>
      <w:ind w:left="1440" w:hanging="216"/>
    </w:pPr>
  </w:style>
  <w:style w:type="paragraph" w:customStyle="1" w:styleId="19">
    <w:name w:val="FWB_L6"/>
    <w:basedOn w:val="18"/>
    <w:qFormat/>
    <w:uiPriority w:val="0"/>
    <w:pPr>
      <w:numPr>
        <w:ilvl w:val="5"/>
      </w:numPr>
    </w:pPr>
  </w:style>
  <w:style w:type="paragraph" w:customStyle="1" w:styleId="20">
    <w:name w:val="FWB_L7"/>
    <w:basedOn w:val="19"/>
    <w:qFormat/>
    <w:uiPriority w:val="0"/>
    <w:pPr>
      <w:numPr>
        <w:ilvl w:val="6"/>
      </w:numPr>
    </w:pPr>
  </w:style>
  <w:style w:type="paragraph" w:customStyle="1" w:styleId="21">
    <w:name w:val="FWB_L8"/>
    <w:basedOn w:val="20"/>
    <w:qFormat/>
    <w:uiPriority w:val="0"/>
    <w:pPr>
      <w:numPr>
        <w:ilvl w:val="7"/>
      </w:numPr>
    </w:pPr>
  </w:style>
  <w:style w:type="character" w:customStyle="1" w:styleId="22">
    <w:name w:val="批注文字 字符"/>
    <w:basedOn w:val="8"/>
    <w:link w:val="2"/>
    <w:semiHidden/>
    <w:qFormat/>
    <w:uiPriority w:val="99"/>
    <w:rPr>
      <w:rFonts w:ascii="Calibri" w:hAnsi="Calibri" w:eastAsia="宋体" w:cs="Times New Roman"/>
    </w:rPr>
  </w:style>
  <w:style w:type="character" w:customStyle="1" w:styleId="23">
    <w:name w:val="批注主题 字符"/>
    <w:basedOn w:val="22"/>
    <w:link w:val="6"/>
    <w:semiHidden/>
    <w:qFormat/>
    <w:uiPriority w:val="99"/>
    <w:rPr>
      <w:rFonts w:ascii="Calibri" w:hAnsi="Calibri" w:eastAsia="宋体" w:cs="Times New Roman"/>
      <w:b/>
      <w:bCs/>
    </w:rPr>
  </w:style>
  <w:style w:type="paragraph" w:customStyle="1" w:styleId="24">
    <w:name w:val="Revision"/>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189</Words>
  <Characters>1083</Characters>
  <Lines>9</Lines>
  <Paragraphs>2</Paragraphs>
  <TotalTime>132</TotalTime>
  <ScaleCrop>false</ScaleCrop>
  <LinksUpToDate>false</LinksUpToDate>
  <CharactersWithSpaces>1270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2022-06-05T13:35:00Z</dcterms:created>
  <dc:creator>Fangda</dc:creator>
  <cp:lastModifiedBy>scjgj</cp:lastModifiedBy>
  <cp:lastPrinted>2025-07-28T17:58:15Z</cp:lastPrinted>
  <dcterms:modified xsi:type="dcterms:W3CDTF">2025-07-28T17:58:19Z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0x0101000DADD28517BE074D95A12975B5FBBC1A</vt:lpwstr>
  </property>
  <property fmtid="{D5CDD505-2E9C-101B-9397-08002B2CF9AE}" pid="3" name="KSOProductBuildVer">
    <vt:lpwstr>2052-11.8.2.10125</vt:lpwstr>
  </property>
</Properties>
</file>