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2265" w14:textId="77777777" w:rsidR="009C0EAF" w:rsidRDefault="0095275E">
      <w:pPr>
        <w:spacing w:after="120"/>
        <w:jc w:val="center"/>
        <w:rPr>
          <w:rFonts w:eastAsia="黑体" w:cs="黑体"/>
          <w:bCs/>
          <w:sz w:val="36"/>
          <w:szCs w:val="36"/>
        </w:rPr>
      </w:pPr>
      <w:r>
        <w:rPr>
          <w:rFonts w:eastAsia="黑体" w:cs="黑体" w:hint="eastAsia"/>
          <w:bCs/>
          <w:sz w:val="36"/>
          <w:szCs w:val="36"/>
        </w:rPr>
        <w:t>经营者集中简易案件公示表</w:t>
      </w:r>
    </w:p>
    <w:tbl>
      <w:tblPr>
        <w:tblW w:w="8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1438"/>
        <w:gridCol w:w="5633"/>
      </w:tblGrid>
      <w:tr w:rsidR="009C0EAF" w14:paraId="7DCB5757" w14:textId="77777777" w:rsidTr="00A41C9D">
        <w:trPr>
          <w:trHeight w:val="2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24DABE85" w14:textId="77777777" w:rsidR="009C0EAF" w:rsidRDefault="0095275E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案件名称</w:t>
            </w:r>
          </w:p>
        </w:tc>
        <w:tc>
          <w:tcPr>
            <w:tcW w:w="7071" w:type="dxa"/>
            <w:gridSpan w:val="2"/>
            <w:vAlign w:val="center"/>
          </w:tcPr>
          <w:p w14:paraId="563DA45D" w14:textId="78704F3D" w:rsidR="009C0EAF" w:rsidRDefault="00F557A5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国家中央制冷公司与</w:t>
            </w:r>
            <w:r>
              <w:rPr>
                <w:rFonts w:hint="eastAsia"/>
                <w:sz w:val="24"/>
              </w:rPr>
              <w:t>DIF</w:t>
            </w:r>
            <w:r>
              <w:rPr>
                <w:rFonts w:hint="eastAsia"/>
                <w:sz w:val="24"/>
              </w:rPr>
              <w:t>管理私人有限公司收购</w:t>
            </w:r>
            <w:r>
              <w:rPr>
                <w:rFonts w:hint="eastAsia"/>
                <w:sz w:val="24"/>
              </w:rPr>
              <w:t>PAL</w:t>
            </w:r>
            <w:r>
              <w:rPr>
                <w:rFonts w:hint="eastAsia"/>
                <w:sz w:val="24"/>
              </w:rPr>
              <w:t>制冷控股有限责任公司股权案</w:t>
            </w:r>
          </w:p>
        </w:tc>
      </w:tr>
      <w:tr w:rsidR="009C0EAF" w14:paraId="55FA97C6" w14:textId="77777777" w:rsidTr="00A41C9D">
        <w:trPr>
          <w:trHeight w:val="2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5539B23E" w14:textId="77777777" w:rsidR="009C0EAF" w:rsidRDefault="0095275E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交易概况（限</w:t>
            </w:r>
            <w:r>
              <w:rPr>
                <w:bCs/>
                <w:color w:val="000000"/>
                <w:sz w:val="24"/>
              </w:rPr>
              <w:t>200</w:t>
            </w:r>
            <w:r>
              <w:rPr>
                <w:bCs/>
                <w:color w:val="000000"/>
                <w:sz w:val="24"/>
              </w:rPr>
              <w:t>字内）</w:t>
            </w:r>
          </w:p>
        </w:tc>
        <w:tc>
          <w:tcPr>
            <w:tcW w:w="7071" w:type="dxa"/>
            <w:gridSpan w:val="2"/>
            <w:vAlign w:val="center"/>
          </w:tcPr>
          <w:p w14:paraId="153E64F5" w14:textId="08DBF618" w:rsidR="0028366C" w:rsidRDefault="00153C48">
            <w:pPr>
              <w:pStyle w:val="TableParagraph"/>
              <w:spacing w:line="360" w:lineRule="exact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国家中央制冷公司（“</w:t>
            </w:r>
            <w:proofErr w:type="spell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Tabreed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”）</w:t>
            </w:r>
            <w:r w:rsidR="00476BC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153C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DIF</w:t>
            </w:r>
            <w:r w:rsidRPr="00153C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管理私人有限公司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DIF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”）</w:t>
            </w:r>
            <w:r w:rsidR="00AD37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等签署协议，</w:t>
            </w:r>
            <w:proofErr w:type="spellStart"/>
            <w:r w:rsidR="00AD3759">
              <w:rPr>
                <w:rFonts w:ascii="Times New Roman" w:eastAsia="宋体" w:hAnsi="Times New Roman" w:cs="Times New Roman"/>
                <w:sz w:val="24"/>
                <w:szCs w:val="24"/>
              </w:rPr>
              <w:t>Tabreed</w:t>
            </w:r>
            <w:proofErr w:type="spellEnd"/>
            <w:r w:rsidR="00AD37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AD37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DI</w:t>
            </w:r>
            <w:r w:rsidR="00F362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</w:t>
            </w:r>
            <w:r w:rsidR="00846AF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</w:t>
            </w:r>
            <w:r w:rsidR="00CE6C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专为</w:t>
            </w:r>
            <w:r w:rsidR="004D63E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本次交易</w:t>
            </w:r>
            <w:r w:rsidR="00CE6C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设立的</w:t>
            </w:r>
            <w:r w:rsidR="005A0A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直接和间接控制实体</w:t>
            </w:r>
            <w:r w:rsidR="006628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向</w:t>
            </w:r>
            <w:r w:rsidR="0014730C" w:rsidRPr="0014730C">
              <w:rPr>
                <w:rFonts w:ascii="Times New Roman" w:eastAsia="宋体" w:hAnsi="Times New Roman" w:cs="Times New Roman"/>
                <w:sz w:val="24"/>
                <w:szCs w:val="24"/>
              </w:rPr>
              <w:t>MG Digital Holding LLC</w:t>
            </w:r>
            <w:r w:rsidR="001473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846AF5" w:rsidRPr="00846AF5">
              <w:rPr>
                <w:rFonts w:ascii="Times New Roman" w:eastAsia="宋体" w:hAnsi="Times New Roman" w:cs="Times New Roman"/>
                <w:sz w:val="24"/>
                <w:szCs w:val="24"/>
              </w:rPr>
              <w:t>Multiply Companies Management – Sole Proprietorship LLC</w:t>
            </w:r>
            <w:r w:rsidR="00F3621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收购</w:t>
            </w:r>
            <w:r w:rsidRPr="00153C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PAL</w:t>
            </w:r>
            <w:r w:rsidRPr="00153C4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制冷控股有限责任公司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PCH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”）</w:t>
            </w:r>
            <w:r w:rsidR="006628F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及其子公司</w:t>
            </w:r>
            <w:r w:rsidR="002E22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共计</w:t>
            </w:r>
            <w:r w:rsidR="002E2246">
              <w:rPr>
                <w:rFonts w:ascii="Times New Roman" w:eastAsia="宋体" w:hAnsi="Times New Roman" w:cs="Times New Roman"/>
                <w:sz w:val="24"/>
                <w:szCs w:val="24"/>
              </w:rPr>
              <w:t>100%</w:t>
            </w:r>
            <w:r w:rsidR="002E22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股份。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PCH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主要</w:t>
            </w:r>
            <w:r w:rsidR="002E224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</w:t>
            </w:r>
            <w:r w:rsidR="002E2246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阿联酋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从事区域供冷业务。交易前，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Multiply Group PJSC</w:t>
            </w:r>
            <w:r w:rsidR="00A262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间接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持有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PCH</w:t>
            </w:r>
            <w:r w:rsidR="00476BC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100%</w:t>
            </w:r>
            <w:r w:rsidR="00A262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股份，单独控制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PCH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。交易后，</w:t>
            </w:r>
            <w:proofErr w:type="spellStart"/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Tabreed</w:t>
            </w:r>
            <w:proofErr w:type="spellEnd"/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与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DIF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将分别持有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PCH</w:t>
            </w:r>
            <w:r w:rsidR="00476BC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50%</w:t>
            </w:r>
            <w:r w:rsidR="00A2628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股份，共同控制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PCH</w:t>
            </w:r>
            <w:r w:rsidR="0028366C" w:rsidRPr="0028366C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</w:tc>
      </w:tr>
      <w:tr w:rsidR="0028366C" w14:paraId="7B353312" w14:textId="77777777" w:rsidTr="00A41C9D">
        <w:trPr>
          <w:trHeight w:val="20"/>
        </w:trPr>
        <w:tc>
          <w:tcPr>
            <w:tcW w:w="1881" w:type="dxa"/>
            <w:vMerge w:val="restart"/>
            <w:shd w:val="clear" w:color="auto" w:fill="D9D9D9" w:themeFill="background1" w:themeFillShade="D9"/>
            <w:vAlign w:val="center"/>
          </w:tcPr>
          <w:p w14:paraId="688DD237" w14:textId="77777777" w:rsidR="0028366C" w:rsidRDefault="0028366C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参与集中的经营者简介（每个限</w:t>
            </w:r>
            <w:r>
              <w:rPr>
                <w:bCs/>
                <w:color w:val="000000"/>
                <w:sz w:val="24"/>
              </w:rPr>
              <w:t>100</w:t>
            </w:r>
            <w:r>
              <w:rPr>
                <w:bCs/>
                <w:color w:val="000000"/>
                <w:sz w:val="24"/>
              </w:rPr>
              <w:t>字以内）</w:t>
            </w:r>
          </w:p>
        </w:tc>
        <w:tc>
          <w:tcPr>
            <w:tcW w:w="1438" w:type="dxa"/>
            <w:vAlign w:val="center"/>
          </w:tcPr>
          <w:p w14:paraId="0F5AC210" w14:textId="3F52098F" w:rsidR="0028366C" w:rsidRDefault="0028366C" w:rsidP="00A41C9D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bCs/>
                <w:color w:val="000000"/>
                <w:sz w:val="24"/>
              </w:rPr>
            </w:pPr>
            <w:proofErr w:type="spellStart"/>
            <w:r>
              <w:rPr>
                <w:rFonts w:hint="eastAsia"/>
                <w:bCs/>
                <w:color w:val="000000"/>
                <w:sz w:val="24"/>
              </w:rPr>
              <w:t>Tabreed</w:t>
            </w:r>
            <w:proofErr w:type="spellEnd"/>
          </w:p>
        </w:tc>
        <w:tc>
          <w:tcPr>
            <w:tcW w:w="5633" w:type="dxa"/>
            <w:vAlign w:val="center"/>
          </w:tcPr>
          <w:p w14:paraId="5D00A53F" w14:textId="49459122" w:rsidR="0028366C" w:rsidRDefault="0028366C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proofErr w:type="spellStart"/>
            <w:r w:rsidRPr="0028366C">
              <w:rPr>
                <w:rFonts w:hint="eastAsia"/>
                <w:sz w:val="24"/>
              </w:rPr>
              <w:t>Tabreed</w:t>
            </w:r>
            <w:proofErr w:type="spellEnd"/>
            <w:r w:rsidRPr="0028366C">
              <w:rPr>
                <w:rFonts w:hint="eastAsia"/>
                <w:sz w:val="24"/>
              </w:rPr>
              <w:t>于</w:t>
            </w:r>
            <w:r w:rsidRPr="0028366C">
              <w:rPr>
                <w:rFonts w:hint="eastAsia"/>
                <w:sz w:val="24"/>
              </w:rPr>
              <w:t>1998</w:t>
            </w:r>
            <w:r w:rsidRPr="0028366C">
              <w:rPr>
                <w:rFonts w:hint="eastAsia"/>
                <w:sz w:val="24"/>
              </w:rPr>
              <w:t>年</w:t>
            </w:r>
            <w:r w:rsidRPr="0028366C">
              <w:rPr>
                <w:rFonts w:hint="eastAsia"/>
                <w:sz w:val="24"/>
              </w:rPr>
              <w:t>6</w:t>
            </w:r>
            <w:r w:rsidRPr="0028366C">
              <w:rPr>
                <w:rFonts w:hint="eastAsia"/>
                <w:sz w:val="24"/>
              </w:rPr>
              <w:t>月</w:t>
            </w:r>
            <w:r w:rsidRPr="0028366C">
              <w:rPr>
                <w:rFonts w:hint="eastAsia"/>
                <w:sz w:val="24"/>
              </w:rPr>
              <w:t>10</w:t>
            </w:r>
            <w:r w:rsidR="002E2246" w:rsidRPr="0028366C">
              <w:rPr>
                <w:rFonts w:hint="eastAsia"/>
                <w:sz w:val="24"/>
              </w:rPr>
              <w:t>日</w:t>
            </w:r>
            <w:r w:rsidR="002E2246">
              <w:rPr>
                <w:rFonts w:hint="eastAsia"/>
                <w:sz w:val="24"/>
              </w:rPr>
              <w:t>成立于阿联酋</w:t>
            </w:r>
            <w:r w:rsidRPr="0028366C">
              <w:rPr>
                <w:rFonts w:hint="eastAsia"/>
                <w:sz w:val="24"/>
              </w:rPr>
              <w:t>，</w:t>
            </w:r>
            <w:r w:rsidR="002E2246">
              <w:rPr>
                <w:rFonts w:hint="eastAsia"/>
                <w:sz w:val="24"/>
              </w:rPr>
              <w:t>为</w:t>
            </w:r>
            <w:r w:rsidRPr="0028366C">
              <w:rPr>
                <w:rFonts w:hint="eastAsia"/>
                <w:sz w:val="24"/>
              </w:rPr>
              <w:t>迪拜金融市场上市公司，主要业务为</w:t>
            </w:r>
            <w:r w:rsidR="00F33D0E">
              <w:rPr>
                <w:rFonts w:hint="eastAsia"/>
                <w:sz w:val="24"/>
              </w:rPr>
              <w:t>持有、</w:t>
            </w:r>
            <w:r w:rsidR="00952474">
              <w:rPr>
                <w:rFonts w:hint="eastAsia"/>
                <w:sz w:val="24"/>
              </w:rPr>
              <w:t>建造和运营</w:t>
            </w:r>
            <w:r w:rsidRPr="0028366C">
              <w:rPr>
                <w:rFonts w:hint="eastAsia"/>
                <w:sz w:val="24"/>
              </w:rPr>
              <w:t>区域供冷厂</w:t>
            </w:r>
            <w:r w:rsidR="002E2246">
              <w:rPr>
                <w:rFonts w:hint="eastAsia"/>
                <w:sz w:val="24"/>
              </w:rPr>
              <w:t>。</w:t>
            </w:r>
          </w:p>
        </w:tc>
      </w:tr>
      <w:tr w:rsidR="0028366C" w14:paraId="54ED5882" w14:textId="77777777" w:rsidTr="00A41C9D">
        <w:trPr>
          <w:trHeight w:val="20"/>
        </w:trPr>
        <w:tc>
          <w:tcPr>
            <w:tcW w:w="1881" w:type="dxa"/>
            <w:vMerge/>
            <w:shd w:val="clear" w:color="auto" w:fill="D9D9D9" w:themeFill="background1" w:themeFillShade="D9"/>
            <w:vAlign w:val="center"/>
          </w:tcPr>
          <w:p w14:paraId="2D6439C7" w14:textId="77777777" w:rsidR="0028366C" w:rsidRDefault="0028366C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472CD28F" w14:textId="0CDDAB8F" w:rsidR="0028366C" w:rsidRDefault="0028366C" w:rsidP="00A41C9D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DIF</w:t>
            </w:r>
          </w:p>
        </w:tc>
        <w:tc>
          <w:tcPr>
            <w:tcW w:w="5633" w:type="dxa"/>
            <w:vAlign w:val="center"/>
          </w:tcPr>
          <w:p w14:paraId="3477AD68" w14:textId="5C4EF74E" w:rsidR="002E2246" w:rsidRDefault="00476BCE" w:rsidP="00476BCE">
            <w:pPr>
              <w:adjustRightInd w:val="0"/>
              <w:snapToGrid w:val="0"/>
              <w:rPr>
                <w:sz w:val="24"/>
              </w:rPr>
            </w:pPr>
            <w:r w:rsidRPr="00476BCE">
              <w:rPr>
                <w:sz w:val="24"/>
              </w:rPr>
              <w:t>DIF</w:t>
            </w:r>
            <w:r w:rsidRPr="00476BCE">
              <w:rPr>
                <w:sz w:val="24"/>
              </w:rPr>
              <w:t>于</w:t>
            </w:r>
            <w:r w:rsidRPr="00476BCE">
              <w:rPr>
                <w:sz w:val="24"/>
              </w:rPr>
              <w:t>2008</w:t>
            </w:r>
            <w:r w:rsidRPr="00476BCE">
              <w:rPr>
                <w:sz w:val="24"/>
              </w:rPr>
              <w:t>年</w:t>
            </w:r>
            <w:r w:rsidRPr="00476BCE">
              <w:rPr>
                <w:sz w:val="24"/>
              </w:rPr>
              <w:t>9</w:t>
            </w:r>
            <w:r w:rsidRPr="00476BCE">
              <w:rPr>
                <w:sz w:val="24"/>
              </w:rPr>
              <w:t>月</w:t>
            </w:r>
            <w:r w:rsidRPr="00476BCE">
              <w:rPr>
                <w:sz w:val="24"/>
              </w:rPr>
              <w:t>26</w:t>
            </w:r>
            <w:r w:rsidRPr="00476BCE">
              <w:rPr>
                <w:sz w:val="24"/>
              </w:rPr>
              <w:t>日成立</w:t>
            </w:r>
            <w:r w:rsidR="002E2246">
              <w:rPr>
                <w:rFonts w:hint="eastAsia"/>
                <w:sz w:val="24"/>
              </w:rPr>
              <w:t>于荷兰</w:t>
            </w:r>
            <w:r w:rsidRPr="00476BCE">
              <w:rPr>
                <w:sz w:val="24"/>
              </w:rPr>
              <w:t>，</w:t>
            </w:r>
            <w:r w:rsidR="002E2246">
              <w:rPr>
                <w:rFonts w:hint="eastAsia"/>
                <w:sz w:val="24"/>
              </w:rPr>
              <w:t>主要业务为</w:t>
            </w:r>
            <w:r w:rsidR="00A9798F" w:rsidRPr="00A9798F">
              <w:rPr>
                <w:sz w:val="24"/>
              </w:rPr>
              <w:t>基础设施股权</w:t>
            </w:r>
            <w:r w:rsidR="00A9798F" w:rsidRPr="00A9798F">
              <w:rPr>
                <w:rFonts w:hint="eastAsia"/>
                <w:sz w:val="24"/>
              </w:rPr>
              <w:t>投资</w:t>
            </w:r>
            <w:r w:rsidR="00A9798F" w:rsidRPr="00A9798F">
              <w:rPr>
                <w:sz w:val="24"/>
              </w:rPr>
              <w:t>基金管理人</w:t>
            </w:r>
            <w:r w:rsidRPr="00476BCE">
              <w:rPr>
                <w:sz w:val="24"/>
              </w:rPr>
              <w:t>，</w:t>
            </w:r>
            <w:r w:rsidR="00D6172B" w:rsidRPr="00D6172B">
              <w:rPr>
                <w:sz w:val="24"/>
              </w:rPr>
              <w:t>管理</w:t>
            </w:r>
            <w:r w:rsidR="00D6172B" w:rsidRPr="00D6172B">
              <w:rPr>
                <w:rFonts w:hint="eastAsia"/>
                <w:sz w:val="24"/>
              </w:rPr>
              <w:t>资产</w:t>
            </w:r>
            <w:r w:rsidR="00D6172B" w:rsidRPr="00D6172B">
              <w:rPr>
                <w:sz w:val="24"/>
              </w:rPr>
              <w:t>覆盖欧洲、美洲及大洋洲</w:t>
            </w:r>
            <w:r w:rsidRPr="00476BCE">
              <w:rPr>
                <w:sz w:val="24"/>
              </w:rPr>
              <w:t>。</w:t>
            </w:r>
          </w:p>
          <w:p w14:paraId="12C65E3F" w14:textId="1A10785E" w:rsidR="0028366C" w:rsidRDefault="00476BCE" w:rsidP="00D54D8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476BCE">
              <w:rPr>
                <w:sz w:val="24"/>
              </w:rPr>
              <w:t>DIF</w:t>
            </w:r>
            <w:r w:rsidR="002E2246">
              <w:rPr>
                <w:rFonts w:hint="eastAsia"/>
                <w:sz w:val="24"/>
              </w:rPr>
              <w:t>最终控制人为</w:t>
            </w:r>
            <w:r w:rsidR="00B86D3E" w:rsidRPr="00B86D3E">
              <w:rPr>
                <w:sz w:val="24"/>
              </w:rPr>
              <w:t>CVC Capital Partners plc</w:t>
            </w:r>
            <w:r w:rsidR="00B86D3E" w:rsidRPr="00B86D3E">
              <w:rPr>
                <w:rFonts w:hint="eastAsia"/>
                <w:sz w:val="24"/>
              </w:rPr>
              <w:t>关联方提供咨询或管理的基金或载体（统称“</w:t>
            </w:r>
            <w:r w:rsidR="00B86D3E" w:rsidRPr="00B86D3E">
              <w:rPr>
                <w:rFonts w:hint="eastAsia"/>
                <w:sz w:val="24"/>
              </w:rPr>
              <w:t>CVC</w:t>
            </w:r>
            <w:r w:rsidR="00B86D3E" w:rsidRPr="00B86D3E">
              <w:rPr>
                <w:rFonts w:hint="eastAsia"/>
                <w:sz w:val="24"/>
              </w:rPr>
              <w:t>基金”，与其关联方及子公司合称“</w:t>
            </w:r>
            <w:r w:rsidR="00B86D3E" w:rsidRPr="00B86D3E">
              <w:rPr>
                <w:rFonts w:hint="eastAsia"/>
                <w:sz w:val="24"/>
              </w:rPr>
              <w:t>CVC</w:t>
            </w:r>
            <w:r w:rsidR="00B86D3E" w:rsidRPr="00B86D3E">
              <w:rPr>
                <w:rFonts w:hint="eastAsia"/>
                <w:sz w:val="24"/>
              </w:rPr>
              <w:t>”），以及创始团队、合伙人及个人股东</w:t>
            </w:r>
            <w:r w:rsidRPr="00476BCE">
              <w:rPr>
                <w:sz w:val="24"/>
              </w:rPr>
              <w:t>。</w:t>
            </w:r>
            <w:r w:rsidR="00D54D84" w:rsidRPr="00D54D84">
              <w:rPr>
                <w:rFonts w:hint="eastAsia"/>
                <w:sz w:val="24"/>
              </w:rPr>
              <w:t>CVC</w:t>
            </w:r>
            <w:r w:rsidR="00D54D84" w:rsidRPr="00D54D84">
              <w:rPr>
                <w:rFonts w:hint="eastAsia"/>
                <w:sz w:val="24"/>
              </w:rPr>
              <w:t>基金持有横跨金融服务、化工、公用事业、制造业、零售分销等行业的全球企业股权，投资覆盖欧洲、美国及亚太地区</w:t>
            </w:r>
            <w:r w:rsidR="00A41C9D">
              <w:rPr>
                <w:rFonts w:hint="eastAsia"/>
                <w:sz w:val="24"/>
              </w:rPr>
              <w:t>。</w:t>
            </w:r>
          </w:p>
        </w:tc>
      </w:tr>
      <w:tr w:rsidR="0028366C" w14:paraId="2DD8902D" w14:textId="77777777" w:rsidTr="00A41C9D">
        <w:trPr>
          <w:trHeight w:val="20"/>
        </w:trPr>
        <w:tc>
          <w:tcPr>
            <w:tcW w:w="1881" w:type="dxa"/>
            <w:vMerge/>
            <w:shd w:val="clear" w:color="auto" w:fill="D9D9D9" w:themeFill="background1" w:themeFillShade="D9"/>
            <w:vAlign w:val="center"/>
          </w:tcPr>
          <w:p w14:paraId="51B3D431" w14:textId="77777777" w:rsidR="0028366C" w:rsidRDefault="0028366C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7AE04A9E" w14:textId="18D3DF6A" w:rsidR="0028366C" w:rsidRDefault="0028366C" w:rsidP="00A41C9D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after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PCH</w:t>
            </w:r>
          </w:p>
        </w:tc>
        <w:tc>
          <w:tcPr>
            <w:tcW w:w="5633" w:type="dxa"/>
            <w:vAlign w:val="center"/>
          </w:tcPr>
          <w:p w14:paraId="5A63B038" w14:textId="7EC2AECC" w:rsidR="002E2246" w:rsidRDefault="00476BCE">
            <w:pPr>
              <w:adjustRightInd w:val="0"/>
              <w:snapToGrid w:val="0"/>
              <w:rPr>
                <w:sz w:val="24"/>
              </w:rPr>
            </w:pPr>
            <w:r w:rsidRPr="00476BCE">
              <w:rPr>
                <w:sz w:val="24"/>
              </w:rPr>
              <w:t>PCH</w:t>
            </w:r>
            <w:r w:rsidRPr="00476BCE">
              <w:rPr>
                <w:sz w:val="24"/>
              </w:rPr>
              <w:t>于</w:t>
            </w:r>
            <w:r w:rsidRPr="00476BCE">
              <w:rPr>
                <w:sz w:val="24"/>
              </w:rPr>
              <w:t>2024</w:t>
            </w:r>
            <w:r w:rsidRPr="00476BCE">
              <w:rPr>
                <w:sz w:val="24"/>
              </w:rPr>
              <w:t>年</w:t>
            </w:r>
            <w:r w:rsidRPr="00476BCE">
              <w:rPr>
                <w:sz w:val="24"/>
              </w:rPr>
              <w:t>11</w:t>
            </w:r>
            <w:r w:rsidRPr="00476BCE">
              <w:rPr>
                <w:sz w:val="24"/>
              </w:rPr>
              <w:t>月</w:t>
            </w:r>
            <w:r w:rsidRPr="00476BCE">
              <w:rPr>
                <w:sz w:val="24"/>
              </w:rPr>
              <w:t>16</w:t>
            </w:r>
            <w:r w:rsidRPr="00476BCE">
              <w:rPr>
                <w:sz w:val="24"/>
              </w:rPr>
              <w:t>日</w:t>
            </w:r>
            <w:r w:rsidR="00DF56AE">
              <w:rPr>
                <w:rFonts w:hint="eastAsia"/>
                <w:sz w:val="24"/>
              </w:rPr>
              <w:t>成立于</w:t>
            </w:r>
            <w:r w:rsidR="002E2246">
              <w:rPr>
                <w:rFonts w:hint="eastAsia"/>
                <w:sz w:val="24"/>
              </w:rPr>
              <w:t>阿联酋</w:t>
            </w:r>
            <w:r w:rsidRPr="00476BCE">
              <w:rPr>
                <w:sz w:val="24"/>
              </w:rPr>
              <w:t>，主要业务为</w:t>
            </w:r>
            <w:r w:rsidR="002E2246">
              <w:rPr>
                <w:rFonts w:hint="eastAsia"/>
                <w:sz w:val="24"/>
              </w:rPr>
              <w:t>在</w:t>
            </w:r>
            <w:r w:rsidRPr="00476BCE">
              <w:rPr>
                <w:sz w:val="24"/>
              </w:rPr>
              <w:t>阿联酋</w:t>
            </w:r>
            <w:r w:rsidR="002E2246">
              <w:rPr>
                <w:rFonts w:hint="eastAsia"/>
                <w:sz w:val="24"/>
              </w:rPr>
              <w:t>提供</w:t>
            </w:r>
            <w:r w:rsidRPr="00476BCE">
              <w:rPr>
                <w:sz w:val="24"/>
              </w:rPr>
              <w:t>区域供冷服务</w:t>
            </w:r>
            <w:r w:rsidR="002E2246">
              <w:rPr>
                <w:rFonts w:hint="eastAsia"/>
                <w:sz w:val="24"/>
              </w:rPr>
              <w:t>。</w:t>
            </w:r>
          </w:p>
          <w:p w14:paraId="099B820B" w14:textId="54D6ED63" w:rsidR="00435B30" w:rsidRPr="00435B30" w:rsidRDefault="002E2246" w:rsidP="00A41C9D">
            <w:pPr>
              <w:adjustRightInd w:val="0"/>
              <w:snapToGrid w:val="0"/>
            </w:pPr>
            <w:r>
              <w:rPr>
                <w:sz w:val="24"/>
              </w:rPr>
              <w:t>PCH</w:t>
            </w:r>
            <w:r w:rsidR="00476BCE" w:rsidRPr="00476BCE">
              <w:rPr>
                <w:sz w:val="24"/>
              </w:rPr>
              <w:t>最终控制人为</w:t>
            </w:r>
            <w:r w:rsidR="0095275E" w:rsidRPr="0095275E">
              <w:rPr>
                <w:sz w:val="24"/>
              </w:rPr>
              <w:t>International Holding Company PJSC</w:t>
            </w:r>
            <w:r w:rsidR="00481339">
              <w:rPr>
                <w:rFonts w:hint="eastAsia"/>
                <w:sz w:val="24"/>
              </w:rPr>
              <w:t>，</w:t>
            </w:r>
            <w:r w:rsidR="0095275E" w:rsidRPr="00A41C9D">
              <w:rPr>
                <w:rFonts w:hint="eastAsia"/>
                <w:sz w:val="24"/>
              </w:rPr>
              <w:t>主要</w:t>
            </w:r>
            <w:r w:rsidR="0095275E">
              <w:rPr>
                <w:rFonts w:hint="eastAsia"/>
                <w:sz w:val="24"/>
              </w:rPr>
              <w:t>业务为</w:t>
            </w:r>
            <w:r w:rsidR="006136C5">
              <w:rPr>
                <w:rFonts w:hint="eastAsia"/>
                <w:sz w:val="24"/>
              </w:rPr>
              <w:t>投资</w:t>
            </w:r>
            <w:r w:rsidR="00DF56AE" w:rsidRPr="00A41C9D">
              <w:rPr>
                <w:rFonts w:hint="eastAsia"/>
                <w:sz w:val="24"/>
              </w:rPr>
              <w:t>（</w:t>
            </w:r>
            <w:r w:rsidR="00DF56AE" w:rsidRPr="00A41C9D">
              <w:rPr>
                <w:sz w:val="24"/>
              </w:rPr>
              <w:t>1</w:t>
            </w:r>
            <w:r w:rsidR="00DF56AE" w:rsidRPr="00A41C9D">
              <w:rPr>
                <w:rFonts w:hint="eastAsia"/>
                <w:sz w:val="24"/>
              </w:rPr>
              <w:t>）农业与食品，（</w:t>
            </w:r>
            <w:r w:rsidR="00DF56AE" w:rsidRPr="00A41C9D">
              <w:rPr>
                <w:sz w:val="24"/>
              </w:rPr>
              <w:t>2</w:t>
            </w:r>
            <w:r w:rsidR="00DF56AE" w:rsidRPr="00A41C9D">
              <w:rPr>
                <w:rFonts w:hint="eastAsia"/>
                <w:sz w:val="24"/>
              </w:rPr>
              <w:t>）教育，（</w:t>
            </w:r>
            <w:r w:rsidR="00DF56AE" w:rsidRPr="00A41C9D">
              <w:rPr>
                <w:sz w:val="24"/>
              </w:rPr>
              <w:t>3</w:t>
            </w:r>
            <w:r w:rsidR="00DF56AE" w:rsidRPr="00A41C9D">
              <w:rPr>
                <w:rFonts w:hint="eastAsia"/>
                <w:sz w:val="24"/>
              </w:rPr>
              <w:t>）</w:t>
            </w:r>
            <w:r w:rsidR="00435B30" w:rsidRPr="00A41C9D">
              <w:rPr>
                <w:rFonts w:hint="eastAsia"/>
                <w:sz w:val="24"/>
              </w:rPr>
              <w:t>能源</w:t>
            </w:r>
            <w:r w:rsidR="00DF56AE" w:rsidRPr="00A41C9D">
              <w:rPr>
                <w:rFonts w:hint="eastAsia"/>
                <w:sz w:val="24"/>
              </w:rPr>
              <w:t>、</w:t>
            </w:r>
            <w:r w:rsidR="00435B30" w:rsidRPr="00A41C9D">
              <w:rPr>
                <w:rFonts w:hint="eastAsia"/>
                <w:sz w:val="24"/>
              </w:rPr>
              <w:t>公用事业</w:t>
            </w:r>
            <w:r w:rsidR="00DF56AE" w:rsidRPr="00A41C9D">
              <w:rPr>
                <w:rFonts w:hint="eastAsia"/>
                <w:sz w:val="24"/>
              </w:rPr>
              <w:t>及资源，（</w:t>
            </w:r>
            <w:r w:rsidR="00DF56AE" w:rsidRPr="00A41C9D">
              <w:rPr>
                <w:sz w:val="24"/>
              </w:rPr>
              <w:t>4</w:t>
            </w:r>
            <w:r w:rsidR="00DF56AE" w:rsidRPr="00A41C9D">
              <w:rPr>
                <w:rFonts w:hint="eastAsia"/>
                <w:sz w:val="24"/>
              </w:rPr>
              <w:t>）金融服务与资产管理，（</w:t>
            </w:r>
            <w:r w:rsidR="00DF56AE" w:rsidRPr="00A41C9D">
              <w:rPr>
                <w:sz w:val="24"/>
              </w:rPr>
              <w:t>5</w:t>
            </w:r>
            <w:r w:rsidR="00DF56AE" w:rsidRPr="00A41C9D">
              <w:rPr>
                <w:rFonts w:hint="eastAsia"/>
                <w:sz w:val="24"/>
              </w:rPr>
              <w:t>）医疗健康，（</w:t>
            </w:r>
            <w:r w:rsidR="00DF56AE" w:rsidRPr="00A41C9D">
              <w:rPr>
                <w:sz w:val="24"/>
              </w:rPr>
              <w:t>6</w:t>
            </w:r>
            <w:r w:rsidR="00DF56AE" w:rsidRPr="00A41C9D">
              <w:rPr>
                <w:rFonts w:hint="eastAsia"/>
                <w:sz w:val="24"/>
              </w:rPr>
              <w:t>）酒店及休闲娱乐，（</w:t>
            </w:r>
            <w:r w:rsidR="00DF56AE" w:rsidRPr="00A41C9D">
              <w:rPr>
                <w:sz w:val="24"/>
              </w:rPr>
              <w:t>7</w:t>
            </w:r>
            <w:r w:rsidR="00DF56AE" w:rsidRPr="00A41C9D">
              <w:rPr>
                <w:rFonts w:hint="eastAsia"/>
                <w:sz w:val="24"/>
              </w:rPr>
              <w:t>）投资，（</w:t>
            </w:r>
            <w:r w:rsidR="00DF56AE" w:rsidRPr="00A41C9D">
              <w:rPr>
                <w:sz w:val="24"/>
              </w:rPr>
              <w:t>8</w:t>
            </w:r>
            <w:r w:rsidR="00DF56AE" w:rsidRPr="00A41C9D">
              <w:rPr>
                <w:rFonts w:hint="eastAsia"/>
                <w:sz w:val="24"/>
              </w:rPr>
              <w:t>）海事与疏浚，（</w:t>
            </w:r>
            <w:r w:rsidR="00DF56AE" w:rsidRPr="00A41C9D">
              <w:rPr>
                <w:sz w:val="24"/>
              </w:rPr>
              <w:t>9</w:t>
            </w:r>
            <w:r w:rsidR="00DF56AE" w:rsidRPr="00A41C9D">
              <w:rPr>
                <w:rFonts w:hint="eastAsia"/>
                <w:sz w:val="24"/>
              </w:rPr>
              <w:t>）媒体，（</w:t>
            </w:r>
            <w:r w:rsidR="00DF56AE" w:rsidRPr="00A41C9D">
              <w:rPr>
                <w:sz w:val="24"/>
              </w:rPr>
              <w:t>10</w:t>
            </w:r>
            <w:r w:rsidR="00DF56AE" w:rsidRPr="00A41C9D">
              <w:rPr>
                <w:rFonts w:hint="eastAsia"/>
                <w:sz w:val="24"/>
              </w:rPr>
              <w:t>）移动出行与物流，（</w:t>
            </w:r>
            <w:r w:rsidR="00DF56AE" w:rsidRPr="00A41C9D">
              <w:rPr>
                <w:sz w:val="24"/>
              </w:rPr>
              <w:t>11</w:t>
            </w:r>
            <w:r w:rsidR="00DF56AE" w:rsidRPr="00A41C9D">
              <w:rPr>
                <w:rFonts w:hint="eastAsia"/>
                <w:sz w:val="24"/>
              </w:rPr>
              <w:t>）</w:t>
            </w:r>
            <w:r w:rsidR="00435B30" w:rsidRPr="00A41C9D">
              <w:rPr>
                <w:rFonts w:hint="eastAsia"/>
                <w:sz w:val="24"/>
              </w:rPr>
              <w:t>房地产</w:t>
            </w:r>
            <w:r w:rsidR="00DF56AE" w:rsidRPr="00A41C9D">
              <w:rPr>
                <w:rFonts w:hint="eastAsia"/>
                <w:sz w:val="24"/>
              </w:rPr>
              <w:t>与</w:t>
            </w:r>
            <w:r w:rsidR="00435B30" w:rsidRPr="00A41C9D">
              <w:rPr>
                <w:rFonts w:hint="eastAsia"/>
                <w:sz w:val="24"/>
              </w:rPr>
              <w:t>建筑</w:t>
            </w:r>
            <w:r w:rsidR="00DF56AE" w:rsidRPr="00A41C9D">
              <w:rPr>
                <w:rFonts w:hint="eastAsia"/>
                <w:sz w:val="24"/>
              </w:rPr>
              <w:t>，（</w:t>
            </w:r>
            <w:r w:rsidR="00DF56AE" w:rsidRPr="00A41C9D">
              <w:rPr>
                <w:sz w:val="24"/>
              </w:rPr>
              <w:t>12</w:t>
            </w:r>
            <w:r w:rsidR="00DF56AE" w:rsidRPr="00A41C9D">
              <w:rPr>
                <w:rFonts w:hint="eastAsia"/>
                <w:sz w:val="24"/>
              </w:rPr>
              <w:t>）可持续发展与环境，（</w:t>
            </w:r>
            <w:r w:rsidR="00DF56AE" w:rsidRPr="00A41C9D">
              <w:rPr>
                <w:sz w:val="24"/>
              </w:rPr>
              <w:t>13</w:t>
            </w:r>
            <w:r w:rsidR="00DF56AE" w:rsidRPr="00A41C9D">
              <w:rPr>
                <w:rFonts w:hint="eastAsia"/>
                <w:sz w:val="24"/>
              </w:rPr>
              <w:t>）科技。</w:t>
            </w:r>
          </w:p>
        </w:tc>
      </w:tr>
      <w:tr w:rsidR="009C0EAF" w14:paraId="7ED08894" w14:textId="77777777" w:rsidTr="00A41C9D">
        <w:trPr>
          <w:trHeight w:val="20"/>
        </w:trPr>
        <w:tc>
          <w:tcPr>
            <w:tcW w:w="1881" w:type="dxa"/>
            <w:vMerge w:val="restart"/>
            <w:shd w:val="clear" w:color="auto" w:fill="D9D9D9" w:themeFill="background1" w:themeFillShade="D9"/>
            <w:vAlign w:val="center"/>
          </w:tcPr>
          <w:p w14:paraId="4833E9F2" w14:textId="77777777" w:rsidR="009C0EAF" w:rsidRDefault="0095275E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简易案件理由（可以单选，也可以多选）</w:t>
            </w:r>
          </w:p>
        </w:tc>
        <w:tc>
          <w:tcPr>
            <w:tcW w:w="7071" w:type="dxa"/>
            <w:gridSpan w:val="2"/>
            <w:vAlign w:val="center"/>
          </w:tcPr>
          <w:p w14:paraId="1B065384" w14:textId="2B47B17A" w:rsidR="009C0EAF" w:rsidRDefault="00476BCE">
            <w:pPr>
              <w:pStyle w:val="a4"/>
              <w:adjustRightInd w:val="0"/>
              <w:snapToGrid w:val="0"/>
              <w:spacing w:after="0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sym w:font="Wingdings" w:char="00A8"/>
            </w:r>
            <w:r>
              <w:rPr>
                <w:bCs/>
                <w:color w:val="000000"/>
                <w:sz w:val="24"/>
              </w:rPr>
              <w:t xml:space="preserve"> 1</w:t>
            </w:r>
            <w:r>
              <w:rPr>
                <w:bCs/>
                <w:color w:val="000000"/>
                <w:sz w:val="24"/>
              </w:rPr>
              <w:t>、在同一相关市场，所有参与集中的经营者所占市场份额之和小于</w:t>
            </w:r>
            <w:r>
              <w:rPr>
                <w:bCs/>
                <w:color w:val="000000"/>
                <w:sz w:val="24"/>
              </w:rPr>
              <w:t>15%</w:t>
            </w:r>
            <w:r>
              <w:rPr>
                <w:bCs/>
                <w:color w:val="000000"/>
                <w:sz w:val="24"/>
              </w:rPr>
              <w:t>。</w:t>
            </w:r>
          </w:p>
        </w:tc>
      </w:tr>
      <w:tr w:rsidR="009C0EAF" w14:paraId="35FCBDF0" w14:textId="77777777" w:rsidTr="00A41C9D">
        <w:trPr>
          <w:trHeight w:val="20"/>
        </w:trPr>
        <w:tc>
          <w:tcPr>
            <w:tcW w:w="1881" w:type="dxa"/>
            <w:vMerge/>
            <w:shd w:val="clear" w:color="auto" w:fill="D9D9D9" w:themeFill="background1" w:themeFillShade="D9"/>
            <w:vAlign w:val="center"/>
          </w:tcPr>
          <w:p w14:paraId="1A70904B" w14:textId="77777777" w:rsidR="009C0EAF" w:rsidRDefault="009C0EAF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071" w:type="dxa"/>
            <w:gridSpan w:val="2"/>
            <w:vAlign w:val="center"/>
          </w:tcPr>
          <w:p w14:paraId="0BFD32A4" w14:textId="77777777" w:rsidR="009C0EAF" w:rsidRDefault="0095275E">
            <w:pPr>
              <w:pStyle w:val="a4"/>
              <w:adjustRightInd w:val="0"/>
              <w:snapToGrid w:val="0"/>
              <w:spacing w:after="0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sym w:font="Wingdings" w:char="00A8"/>
            </w:r>
            <w:r>
              <w:rPr>
                <w:bCs/>
                <w:color w:val="000000"/>
                <w:sz w:val="24"/>
              </w:rPr>
              <w:t xml:space="preserve"> 2</w:t>
            </w:r>
            <w:r>
              <w:rPr>
                <w:bCs/>
                <w:color w:val="000000"/>
                <w:sz w:val="24"/>
              </w:rPr>
              <w:t>、存在上下游关系的参与集中的经营者，在上下游市场所占的市场份额均小于</w:t>
            </w:r>
            <w:r>
              <w:rPr>
                <w:bCs/>
                <w:color w:val="000000"/>
                <w:sz w:val="24"/>
              </w:rPr>
              <w:t>25%</w:t>
            </w:r>
            <w:r>
              <w:rPr>
                <w:bCs/>
                <w:color w:val="000000"/>
                <w:sz w:val="24"/>
              </w:rPr>
              <w:t>。</w:t>
            </w:r>
          </w:p>
        </w:tc>
      </w:tr>
      <w:tr w:rsidR="009C0EAF" w14:paraId="2C19FFB5" w14:textId="77777777" w:rsidTr="00A41C9D">
        <w:trPr>
          <w:trHeight w:val="20"/>
        </w:trPr>
        <w:tc>
          <w:tcPr>
            <w:tcW w:w="1881" w:type="dxa"/>
            <w:vMerge/>
            <w:shd w:val="clear" w:color="auto" w:fill="D9D9D9" w:themeFill="background1" w:themeFillShade="D9"/>
            <w:vAlign w:val="center"/>
          </w:tcPr>
          <w:p w14:paraId="5AFB33AE" w14:textId="77777777" w:rsidR="009C0EAF" w:rsidRDefault="009C0EAF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071" w:type="dxa"/>
            <w:gridSpan w:val="2"/>
            <w:vAlign w:val="center"/>
          </w:tcPr>
          <w:p w14:paraId="2F50145C" w14:textId="256B84A0" w:rsidR="009C0EAF" w:rsidRDefault="00476BCE">
            <w:pPr>
              <w:pStyle w:val="a4"/>
              <w:adjustRightInd w:val="0"/>
              <w:snapToGrid w:val="0"/>
              <w:spacing w:after="0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sz w:val="24"/>
              </w:rPr>
              <w:sym w:font="Wingdings" w:char="00A8"/>
            </w:r>
            <w:r>
              <w:rPr>
                <w:bCs/>
                <w:color w:val="000000"/>
                <w:sz w:val="24"/>
              </w:rPr>
              <w:t xml:space="preserve"> 3</w:t>
            </w:r>
            <w:r>
              <w:rPr>
                <w:bCs/>
                <w:color w:val="000000"/>
                <w:sz w:val="24"/>
              </w:rPr>
              <w:t>、不在同一相关市场、也不存在上下游关系的参与集中的经营者，在与交易有关的每个市场所占的份额均小于</w:t>
            </w:r>
            <w:r>
              <w:rPr>
                <w:bCs/>
                <w:color w:val="000000"/>
                <w:sz w:val="24"/>
              </w:rPr>
              <w:t>25%</w:t>
            </w:r>
            <w:r>
              <w:rPr>
                <w:bCs/>
                <w:color w:val="000000"/>
                <w:sz w:val="24"/>
              </w:rPr>
              <w:t>。</w:t>
            </w:r>
          </w:p>
        </w:tc>
      </w:tr>
      <w:tr w:rsidR="009C0EAF" w14:paraId="3A04C439" w14:textId="77777777" w:rsidTr="00A41C9D">
        <w:trPr>
          <w:trHeight w:val="20"/>
        </w:trPr>
        <w:tc>
          <w:tcPr>
            <w:tcW w:w="1881" w:type="dxa"/>
            <w:vMerge/>
            <w:shd w:val="clear" w:color="auto" w:fill="D9D9D9" w:themeFill="background1" w:themeFillShade="D9"/>
            <w:vAlign w:val="center"/>
          </w:tcPr>
          <w:p w14:paraId="56E45075" w14:textId="77777777" w:rsidR="009C0EAF" w:rsidRDefault="009C0EAF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071" w:type="dxa"/>
            <w:gridSpan w:val="2"/>
            <w:vAlign w:val="center"/>
          </w:tcPr>
          <w:p w14:paraId="2A83A844" w14:textId="77777777" w:rsidR="009C0EAF" w:rsidRDefault="0095275E">
            <w:pPr>
              <w:pStyle w:val="a4"/>
              <w:adjustRightInd w:val="0"/>
              <w:snapToGrid w:val="0"/>
              <w:spacing w:after="0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sym w:font="Wingdings" w:char="00A8"/>
            </w:r>
            <w:r>
              <w:rPr>
                <w:bCs/>
                <w:color w:val="000000"/>
                <w:sz w:val="24"/>
              </w:rPr>
              <w:t xml:space="preserve"> 4</w:t>
            </w:r>
            <w:r>
              <w:rPr>
                <w:bCs/>
                <w:color w:val="000000"/>
                <w:sz w:val="24"/>
              </w:rPr>
              <w:t>、参与集中的经营者在中国境外设立合营企业，合营企业不在中国境内从事经济活动。</w:t>
            </w:r>
          </w:p>
        </w:tc>
      </w:tr>
      <w:tr w:rsidR="009C0EAF" w14:paraId="6EFE0D43" w14:textId="77777777" w:rsidTr="00A41C9D">
        <w:trPr>
          <w:trHeight w:val="20"/>
        </w:trPr>
        <w:tc>
          <w:tcPr>
            <w:tcW w:w="1881" w:type="dxa"/>
            <w:vMerge/>
            <w:shd w:val="clear" w:color="auto" w:fill="D9D9D9" w:themeFill="background1" w:themeFillShade="D9"/>
            <w:vAlign w:val="center"/>
          </w:tcPr>
          <w:p w14:paraId="43239687" w14:textId="77777777" w:rsidR="009C0EAF" w:rsidRDefault="009C0EAF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071" w:type="dxa"/>
            <w:gridSpan w:val="2"/>
            <w:vAlign w:val="center"/>
          </w:tcPr>
          <w:p w14:paraId="6A62CA29" w14:textId="28CBBE13" w:rsidR="009C0EAF" w:rsidRDefault="00476BCE">
            <w:pPr>
              <w:pStyle w:val="a4"/>
              <w:adjustRightInd w:val="0"/>
              <w:snapToGrid w:val="0"/>
              <w:spacing w:after="0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sym w:font="Wingdings" w:char="00FE"/>
            </w:r>
            <w:r>
              <w:rPr>
                <w:bCs/>
                <w:color w:val="000000"/>
                <w:sz w:val="24"/>
              </w:rPr>
              <w:t xml:space="preserve"> 5</w:t>
            </w:r>
            <w:r>
              <w:rPr>
                <w:bCs/>
                <w:color w:val="000000"/>
                <w:sz w:val="24"/>
              </w:rPr>
              <w:t>、参与集中的经营者收购境外企业股权或资产的，该境外企</w:t>
            </w:r>
            <w:r>
              <w:rPr>
                <w:bCs/>
                <w:color w:val="000000"/>
                <w:sz w:val="24"/>
              </w:rPr>
              <w:lastRenderedPageBreak/>
              <w:t>业不在中国境内从事经济活动。</w:t>
            </w:r>
          </w:p>
        </w:tc>
      </w:tr>
      <w:tr w:rsidR="009C0EAF" w14:paraId="7A6059DE" w14:textId="77777777" w:rsidTr="00A41C9D">
        <w:trPr>
          <w:trHeight w:val="20"/>
        </w:trPr>
        <w:tc>
          <w:tcPr>
            <w:tcW w:w="1881" w:type="dxa"/>
            <w:vMerge/>
            <w:shd w:val="clear" w:color="auto" w:fill="D9D9D9" w:themeFill="background1" w:themeFillShade="D9"/>
            <w:vAlign w:val="center"/>
          </w:tcPr>
          <w:p w14:paraId="1988F9C9" w14:textId="77777777" w:rsidR="009C0EAF" w:rsidRDefault="009C0EAF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7071" w:type="dxa"/>
            <w:gridSpan w:val="2"/>
            <w:vAlign w:val="center"/>
          </w:tcPr>
          <w:p w14:paraId="21F50CDE" w14:textId="77777777" w:rsidR="009C0EAF" w:rsidRDefault="0095275E">
            <w:pPr>
              <w:pStyle w:val="a4"/>
              <w:adjustRightInd w:val="0"/>
              <w:snapToGrid w:val="0"/>
              <w:spacing w:after="0"/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sym w:font="Wingdings" w:char="00A8"/>
            </w:r>
            <w:r>
              <w:rPr>
                <w:bCs/>
                <w:color w:val="000000"/>
                <w:sz w:val="24"/>
              </w:rPr>
              <w:t xml:space="preserve"> 6</w:t>
            </w:r>
            <w:r>
              <w:rPr>
                <w:bCs/>
                <w:color w:val="000000"/>
                <w:sz w:val="24"/>
              </w:rPr>
              <w:t>、由两个以上的经营者共同控制的合营企业，通过集中被其中一个或一个以上经营者控制。</w:t>
            </w:r>
          </w:p>
        </w:tc>
      </w:tr>
      <w:tr w:rsidR="009C0EAF" w14:paraId="63A1F01D" w14:textId="77777777" w:rsidTr="00A41C9D">
        <w:trPr>
          <w:trHeight w:val="20"/>
        </w:trPr>
        <w:tc>
          <w:tcPr>
            <w:tcW w:w="1881" w:type="dxa"/>
            <w:shd w:val="clear" w:color="auto" w:fill="D9D9D9" w:themeFill="background1" w:themeFillShade="D9"/>
            <w:vAlign w:val="center"/>
          </w:tcPr>
          <w:p w14:paraId="6CF9584F" w14:textId="77777777" w:rsidR="009C0EAF" w:rsidRDefault="0095275E">
            <w:pPr>
              <w:pStyle w:val="a4"/>
              <w:adjustRightInd w:val="0"/>
              <w:snapToGrid w:val="0"/>
              <w:spacing w:after="0"/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备注</w:t>
            </w:r>
          </w:p>
        </w:tc>
        <w:tc>
          <w:tcPr>
            <w:tcW w:w="7071" w:type="dxa"/>
            <w:gridSpan w:val="2"/>
            <w:vAlign w:val="center"/>
          </w:tcPr>
          <w:p w14:paraId="728DD5A4" w14:textId="1CA878EC" w:rsidR="009C0EAF" w:rsidRDefault="00476BCE">
            <w:pPr>
              <w:pStyle w:val="a4"/>
              <w:adjustRightInd w:val="0"/>
              <w:snapToGrid w:val="0"/>
              <w:spacing w:after="0"/>
            </w:pPr>
            <w:r w:rsidRPr="00476BCE">
              <w:rPr>
                <w:rFonts w:hint="eastAsia"/>
                <w:bCs/>
                <w:color w:val="000000"/>
                <w:sz w:val="24"/>
              </w:rPr>
              <w:t>不适用</w:t>
            </w:r>
          </w:p>
        </w:tc>
      </w:tr>
    </w:tbl>
    <w:p w14:paraId="1FAE6EBE" w14:textId="77777777" w:rsidR="009C0EAF" w:rsidRDefault="009C0EAF"/>
    <w:sectPr w:rsidR="009C0EAF" w:rsidSect="002E2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156F" w14:textId="77777777" w:rsidR="004B1265" w:rsidRDefault="004B1265" w:rsidP="00F557A5">
      <w:r>
        <w:separator/>
      </w:r>
    </w:p>
  </w:endnote>
  <w:endnote w:type="continuationSeparator" w:id="0">
    <w:p w14:paraId="58BC30D9" w14:textId="77777777" w:rsidR="004B1265" w:rsidRDefault="004B1265" w:rsidP="00F5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C72B" w14:textId="77777777" w:rsidR="004B1265" w:rsidRDefault="004B1265" w:rsidP="00F557A5">
      <w:r>
        <w:separator/>
      </w:r>
    </w:p>
  </w:footnote>
  <w:footnote w:type="continuationSeparator" w:id="0">
    <w:p w14:paraId="36BC1876" w14:textId="77777777" w:rsidR="004B1265" w:rsidRDefault="004B1265" w:rsidP="00F55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77E8E"/>
    <w:multiLevelType w:val="hybridMultilevel"/>
    <w:tmpl w:val="D4A8C912"/>
    <w:lvl w:ilvl="0" w:tplc="C7F6B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0062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8EC2A0C"/>
    <w:rsid w:val="00035085"/>
    <w:rsid w:val="000721FC"/>
    <w:rsid w:val="0014730C"/>
    <w:rsid w:val="00153C48"/>
    <w:rsid w:val="00190887"/>
    <w:rsid w:val="001A4C3E"/>
    <w:rsid w:val="00231374"/>
    <w:rsid w:val="00281C71"/>
    <w:rsid w:val="0028366C"/>
    <w:rsid w:val="002E2246"/>
    <w:rsid w:val="00375B24"/>
    <w:rsid w:val="003B5538"/>
    <w:rsid w:val="00435B30"/>
    <w:rsid w:val="00476BCE"/>
    <w:rsid w:val="00481339"/>
    <w:rsid w:val="004B1265"/>
    <w:rsid w:val="004D63E9"/>
    <w:rsid w:val="00536628"/>
    <w:rsid w:val="00546D89"/>
    <w:rsid w:val="005A0A8E"/>
    <w:rsid w:val="006136C5"/>
    <w:rsid w:val="006628F6"/>
    <w:rsid w:val="007B23EE"/>
    <w:rsid w:val="00813A2E"/>
    <w:rsid w:val="00846AF5"/>
    <w:rsid w:val="008E06FB"/>
    <w:rsid w:val="00952474"/>
    <w:rsid w:val="0095275E"/>
    <w:rsid w:val="009C0EAF"/>
    <w:rsid w:val="00A2628E"/>
    <w:rsid w:val="00A41C9D"/>
    <w:rsid w:val="00A9798F"/>
    <w:rsid w:val="00AD3759"/>
    <w:rsid w:val="00B44231"/>
    <w:rsid w:val="00B86D3E"/>
    <w:rsid w:val="00BB4F9E"/>
    <w:rsid w:val="00CE6C62"/>
    <w:rsid w:val="00D02F47"/>
    <w:rsid w:val="00D265A1"/>
    <w:rsid w:val="00D54D84"/>
    <w:rsid w:val="00D6172B"/>
    <w:rsid w:val="00D63263"/>
    <w:rsid w:val="00DD1E50"/>
    <w:rsid w:val="00DF56AE"/>
    <w:rsid w:val="00E22B84"/>
    <w:rsid w:val="00E3648C"/>
    <w:rsid w:val="00F2249C"/>
    <w:rsid w:val="00F33D0E"/>
    <w:rsid w:val="00F3621A"/>
    <w:rsid w:val="00F557A5"/>
    <w:rsid w:val="68E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966499"/>
  <w15:docId w15:val="{830428FF-A2E7-4A31-8BAA-1243713A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qFormat/>
  </w:style>
  <w:style w:type="paragraph" w:styleId="a4">
    <w:name w:val="Body Text"/>
    <w:basedOn w:val="a"/>
    <w:next w:val="a5"/>
    <w:uiPriority w:val="99"/>
    <w:unhideWhenUsed/>
    <w:qFormat/>
    <w:pPr>
      <w:spacing w:after="120"/>
    </w:pPr>
  </w:style>
  <w:style w:type="paragraph" w:styleId="a5">
    <w:name w:val="Body Text First Indent"/>
    <w:qFormat/>
    <w:pPr>
      <w:widowControl w:val="0"/>
      <w:spacing w:after="120"/>
      <w:ind w:firstLineChars="100" w:firstLine="42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微软雅黑" w:eastAsia="微软雅黑" w:hAnsi="微软雅黑" w:cs="微软雅黑"/>
      <w:sz w:val="22"/>
      <w:szCs w:val="22"/>
    </w:rPr>
  </w:style>
  <w:style w:type="paragraph" w:styleId="a6">
    <w:name w:val="header"/>
    <w:basedOn w:val="a"/>
    <w:link w:val="a7"/>
    <w:rsid w:val="00F557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F557A5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F55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F557A5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Revision"/>
    <w:hidden/>
    <w:uiPriority w:val="99"/>
    <w:unhideWhenUsed/>
    <w:rsid w:val="002E2246"/>
    <w:rPr>
      <w:rFonts w:ascii="Times New Roman" w:eastAsia="宋体" w:hAnsi="Times New Roman" w:cs="Times New Roman"/>
      <w:kern w:val="2"/>
      <w:sz w:val="21"/>
      <w:szCs w:val="24"/>
    </w:rPr>
  </w:style>
  <w:style w:type="character" w:styleId="ab">
    <w:name w:val="annotation reference"/>
    <w:basedOn w:val="a1"/>
    <w:rsid w:val="003B5538"/>
    <w:rPr>
      <w:sz w:val="21"/>
      <w:szCs w:val="21"/>
    </w:rPr>
  </w:style>
  <w:style w:type="paragraph" w:styleId="ac">
    <w:name w:val="annotation text"/>
    <w:basedOn w:val="a"/>
    <w:link w:val="ad"/>
    <w:rsid w:val="003B5538"/>
    <w:pPr>
      <w:jc w:val="left"/>
    </w:pPr>
  </w:style>
  <w:style w:type="character" w:customStyle="1" w:styleId="ad">
    <w:name w:val="批注文字 字符"/>
    <w:basedOn w:val="a1"/>
    <w:link w:val="ac"/>
    <w:rsid w:val="003B5538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3B5538"/>
    <w:rPr>
      <w:b/>
      <w:bCs/>
    </w:rPr>
  </w:style>
  <w:style w:type="character" w:customStyle="1" w:styleId="af">
    <w:name w:val="批注主题 字符"/>
    <w:basedOn w:val="ad"/>
    <w:link w:val="ae"/>
    <w:rsid w:val="003B5538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2456-F73A-4566-AD96-9C8D462E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907</Words>
  <Characters>290</Characters>
  <Application>Microsoft Office Word</Application>
  <DocSecurity>0</DocSecurity>
  <Lines>2</Lines>
  <Paragraphs>2</Paragraphs>
  <ScaleCrop>false</ScaleCrop>
  <Company>省市场监督管理局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胡翌婧</dc:creator>
  <cp:lastModifiedBy>RRM</cp:lastModifiedBy>
  <cp:revision>29</cp:revision>
  <dcterms:created xsi:type="dcterms:W3CDTF">2025-06-20T05:47:00Z</dcterms:created>
  <dcterms:modified xsi:type="dcterms:W3CDTF">2025-06-27T09:44:00Z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F12499124C204802954A6FBBA5E3E0DD_11</vt:lpwstr>
  </property>
  <property fmtid="{D5CDD505-2E9C-101B-9397-08002B2CF9AE}" pid="4" name="KSOTemplateDocerSaveRecord">
    <vt:lpwstr>eyJoZGlkIjoiODNjM2VkZWUwYjdkZDYzZGY2NmZiZGNiZGIyMjFjYWIiLCJ1c2VySWQiOiIyNDQ2MzYxMzgifQ==</vt:lpwstr>
  </property>
</Properties>
</file>