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line="594" w:lineRule="exact"/>
        <w:jc w:val="center"/>
        <w:rPr>
          <w:rFonts w:hint="eastAsia" w:ascii="黑体" w:hAnsi="黑体" w:eastAsia="黑体" w:cs="黑体"/>
          <w:bCs/>
          <w:kern w:val="0"/>
          <w:sz w:val="36"/>
          <w:szCs w:val="36"/>
          <w:lang w:val="en-GB" w:bidi="ar-AE"/>
        </w:rPr>
      </w:pPr>
      <w:r>
        <w:rPr>
          <w:rFonts w:hint="eastAsia" w:ascii="黑体" w:hAnsi="黑体" w:eastAsia="黑体" w:cs="黑体"/>
          <w:bCs/>
          <w:kern w:val="0"/>
          <w:sz w:val="36"/>
          <w:szCs w:val="36"/>
          <w:lang w:val="en-GB" w:bidi="ar-AE"/>
        </w:rPr>
        <w:t>经营者集中简易案件公示表</w:t>
      </w:r>
    </w:p>
    <w:tbl>
      <w:tblPr>
        <w:tblStyle w:val="13"/>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607"/>
        <w:gridCol w:w="6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940" w:type="dxa"/>
            <w:shd w:val="clear" w:color="auto" w:fill="D9D9D9"/>
            <w:vAlign w:val="center"/>
          </w:tcPr>
          <w:p>
            <w:pPr>
              <w:pStyle w:val="9"/>
              <w:adjustRightInd w:val="0"/>
              <w:snapToGrid w:val="0"/>
              <w:spacing w:after="0"/>
              <w:rPr>
                <w:rFonts w:hint="eastAsia" w:ascii="宋体" w:hAnsi="宋体" w:cs="宋体"/>
                <w:bCs/>
                <w:color w:val="000000"/>
                <w:lang w:val="en-US"/>
              </w:rPr>
            </w:pPr>
            <w:r>
              <w:rPr>
                <w:rFonts w:hint="eastAsia" w:ascii="宋体" w:hAnsi="宋体" w:cs="宋体"/>
                <w:bCs/>
                <w:color w:val="000000"/>
              </w:rPr>
              <w:t>案件名称</w:t>
            </w:r>
          </w:p>
        </w:tc>
        <w:tc>
          <w:tcPr>
            <w:tcW w:w="7700" w:type="dxa"/>
            <w:gridSpan w:val="2"/>
          </w:tcPr>
          <w:p>
            <w:pPr>
              <w:widowControl/>
              <w:adjustRightInd w:val="0"/>
              <w:snapToGrid w:val="0"/>
              <w:rPr>
                <w:rFonts w:hint="eastAsia" w:ascii="宋体" w:hAnsi="宋体" w:cs="宋体"/>
                <w:bCs/>
                <w:color w:val="000000"/>
                <w:kern w:val="0"/>
                <w:sz w:val="24"/>
                <w:lang w:bidi="ar-AE"/>
              </w:rPr>
            </w:pPr>
            <w:bookmarkStart w:id="0" w:name="_Hlk194316681"/>
            <w:r>
              <w:rPr>
                <w:rFonts w:hint="eastAsia" w:ascii="宋体" w:hAnsi="宋体"/>
                <w:sz w:val="24"/>
              </w:rPr>
              <w:t>四川华盛能源发展集团有限公司与重庆浦里工业发展有限公司新设合营企业案</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940" w:type="dxa"/>
            <w:shd w:val="clear" w:color="auto" w:fill="D9D9D9"/>
            <w:vAlign w:val="center"/>
          </w:tcPr>
          <w:p>
            <w:pPr>
              <w:pStyle w:val="9"/>
              <w:adjustRightInd w:val="0"/>
              <w:snapToGrid w:val="0"/>
              <w:spacing w:after="0"/>
              <w:rPr>
                <w:rFonts w:hint="eastAsia" w:ascii="宋体" w:hAnsi="宋体" w:cs="宋体"/>
                <w:bCs/>
                <w:color w:val="000000"/>
                <w:lang w:val="en-US" w:eastAsia="zh-CN"/>
              </w:rPr>
            </w:pPr>
            <w:r>
              <w:rPr>
                <w:rFonts w:hint="eastAsia" w:ascii="宋体" w:hAnsi="宋体" w:cs="宋体"/>
                <w:bCs/>
                <w:color w:val="000000"/>
                <w:lang w:eastAsia="zh-CN"/>
              </w:rPr>
              <w:t>交易概况（限200字内）</w:t>
            </w:r>
          </w:p>
        </w:tc>
        <w:tc>
          <w:tcPr>
            <w:tcW w:w="7700" w:type="dxa"/>
            <w:gridSpan w:val="2"/>
          </w:tcPr>
          <w:p>
            <w:pPr>
              <w:adjustRightInd w:val="0"/>
              <w:snapToGrid w:val="0"/>
              <w:rPr>
                <w:rFonts w:hint="eastAsia" w:ascii="宋体" w:hAnsi="宋体" w:cs="宋体"/>
                <w:bCs/>
                <w:color w:val="000000"/>
                <w:kern w:val="0"/>
                <w:sz w:val="24"/>
                <w:lang w:bidi="ar-AE"/>
              </w:rPr>
            </w:pPr>
            <w:r>
              <w:rPr>
                <w:rFonts w:hint="eastAsia" w:ascii="宋体" w:hAnsi="宋体"/>
                <w:sz w:val="24"/>
              </w:rPr>
              <w:t>四川华盛能源发展集团有限公司（“</w:t>
            </w:r>
            <w:r>
              <w:rPr>
                <w:rFonts w:hint="eastAsia" w:ascii="宋体" w:hAnsi="宋体"/>
                <w:b/>
                <w:bCs/>
                <w:sz w:val="24"/>
              </w:rPr>
              <w:t>四川华盛</w:t>
            </w:r>
            <w:r>
              <w:rPr>
                <w:rFonts w:hint="eastAsia" w:ascii="宋体" w:hAnsi="宋体"/>
                <w:sz w:val="24"/>
              </w:rPr>
              <w:t>”）与重庆浦里工业发展有限公司（“</w:t>
            </w:r>
            <w:r>
              <w:rPr>
                <w:rFonts w:hint="eastAsia" w:ascii="宋体" w:hAnsi="宋体"/>
                <w:b/>
                <w:bCs/>
                <w:sz w:val="24"/>
              </w:rPr>
              <w:t>重庆浦里</w:t>
            </w:r>
            <w:r>
              <w:rPr>
                <w:rFonts w:hint="eastAsia" w:ascii="宋体" w:hAnsi="宋体"/>
                <w:sz w:val="24"/>
              </w:rPr>
              <w:t>”）签署协议，新设合营企业。合营企业拟在重庆市开州区浦里新区从事城市管道天然气供应业务。交易后，四川华盛和重庆浦里分别持有合营企业51%和49%的股权，共同控制合营企业。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940" w:type="dxa"/>
            <w:vMerge w:val="restart"/>
            <w:shd w:val="clear" w:color="auto" w:fill="D9D9D9"/>
            <w:vAlign w:val="center"/>
          </w:tcPr>
          <w:p>
            <w:pPr>
              <w:pStyle w:val="9"/>
              <w:adjustRightInd w:val="0"/>
              <w:snapToGrid w:val="0"/>
              <w:spacing w:after="0"/>
              <w:rPr>
                <w:rFonts w:hint="eastAsia" w:ascii="宋体" w:hAnsi="宋体" w:cs="宋体"/>
                <w:bCs/>
                <w:color w:val="000000"/>
                <w:lang w:val="en-US" w:eastAsia="zh-CN"/>
              </w:rPr>
            </w:pPr>
            <w:r>
              <w:rPr>
                <w:rFonts w:hint="eastAsia" w:ascii="宋体" w:hAnsi="宋体" w:cs="宋体"/>
                <w:bCs/>
                <w:color w:val="000000"/>
                <w:lang w:eastAsia="zh-CN"/>
              </w:rPr>
              <w:t>参与集中的经营者简介（每个限</w:t>
            </w:r>
            <w:r>
              <w:rPr>
                <w:rFonts w:ascii="宋体" w:hAnsi="宋体" w:cs="宋体"/>
                <w:bCs/>
                <w:color w:val="000000"/>
                <w:lang w:val="en-US" w:eastAsia="zh-CN"/>
              </w:rPr>
              <w:t>100</w:t>
            </w:r>
            <w:r>
              <w:rPr>
                <w:rFonts w:hint="eastAsia" w:ascii="宋体" w:hAnsi="宋体" w:cs="宋体"/>
                <w:bCs/>
                <w:color w:val="000000"/>
                <w:lang w:val="en-US" w:eastAsia="zh-CN"/>
              </w:rPr>
              <w:t>字以内</w:t>
            </w:r>
            <w:r>
              <w:rPr>
                <w:rFonts w:hint="eastAsia" w:ascii="宋体" w:hAnsi="宋体" w:cs="宋体"/>
                <w:bCs/>
                <w:color w:val="000000"/>
                <w:lang w:eastAsia="zh-CN"/>
              </w:rPr>
              <w:t>）</w:t>
            </w:r>
          </w:p>
        </w:tc>
        <w:tc>
          <w:tcPr>
            <w:tcW w:w="1607" w:type="dxa"/>
            <w:vAlign w:val="center"/>
          </w:tcPr>
          <w:p>
            <w:pPr>
              <w:pStyle w:val="9"/>
              <w:numPr>
                <w:ilvl w:val="0"/>
                <w:numId w:val="1"/>
              </w:numPr>
              <w:adjustRightInd w:val="0"/>
              <w:snapToGrid w:val="0"/>
              <w:spacing w:after="0"/>
              <w:ind w:left="0"/>
              <w:rPr>
                <w:rFonts w:hint="eastAsia" w:ascii="宋体" w:hAnsi="宋体" w:cs="Times New Roman"/>
                <w:kern w:val="2"/>
                <w:lang w:val="en-US" w:eastAsia="zh-CN" w:bidi="ar-SA"/>
              </w:rPr>
            </w:pPr>
            <w:r>
              <w:rPr>
                <w:rFonts w:hint="eastAsia" w:ascii="宋体" w:hAnsi="宋体" w:cs="Times New Roman"/>
                <w:kern w:val="2"/>
                <w:lang w:val="en-US" w:eastAsia="zh-CN" w:bidi="ar-SA"/>
              </w:rPr>
              <w:t>四川华盛</w:t>
            </w:r>
          </w:p>
        </w:tc>
        <w:tc>
          <w:tcPr>
            <w:tcW w:w="6093" w:type="dxa"/>
          </w:tcPr>
          <w:p>
            <w:pPr>
              <w:pStyle w:val="25"/>
              <w:spacing w:after="0"/>
              <w:ind w:right="108"/>
              <w:rPr>
                <w:rFonts w:hint="eastAsia" w:ascii="宋体" w:hAnsi="宋体" w:eastAsia="宋体"/>
                <w:spacing w:val="7"/>
                <w:lang w:eastAsia="zh-CN"/>
              </w:rPr>
            </w:pPr>
            <w:r>
              <w:rPr>
                <w:rFonts w:hint="eastAsia" w:ascii="宋体" w:hAnsi="宋体" w:eastAsia="宋体"/>
                <w:spacing w:val="7"/>
                <w:lang w:eastAsia="zh-CN"/>
              </w:rPr>
              <w:t>四川华盛于1993年10月成立于四川省成都市，主要业务为城市管道天然气供应</w:t>
            </w:r>
            <w:bookmarkStart w:id="1" w:name="_GoBack"/>
            <w:bookmarkEnd w:id="1"/>
            <w:r>
              <w:rPr>
                <w:rFonts w:hint="eastAsia" w:ascii="宋体" w:hAnsi="宋体" w:eastAsia="宋体"/>
                <w:spacing w:val="7"/>
                <w:lang w:eastAsia="zh-CN"/>
              </w:rPr>
              <w:t>等。</w:t>
            </w:r>
          </w:p>
          <w:p>
            <w:pPr>
              <w:widowControl/>
              <w:adjustRightInd w:val="0"/>
              <w:snapToGrid w:val="0"/>
              <w:rPr>
                <w:rFonts w:hint="eastAsia" w:ascii="宋体" w:hAnsi="宋体" w:cs="宋体"/>
                <w:bCs/>
                <w:color w:val="000000"/>
                <w:kern w:val="0"/>
                <w:sz w:val="24"/>
                <w:lang w:val="en-GB" w:bidi="ar-AE"/>
              </w:rPr>
            </w:pPr>
            <w:r>
              <w:rPr>
                <w:rFonts w:hint="eastAsia" w:ascii="宋体" w:hAnsi="宋体"/>
                <w:spacing w:val="7"/>
                <w:sz w:val="24"/>
              </w:rPr>
              <w:t>四川华盛最终控制人为国联产业投资基金管理（北京）有限公司，主要通过投资企业开展新能源、新材料、新技术、绿色金融、油气产品储运及终端市场等业务。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Merge w:val="continue"/>
            <w:shd w:val="clear" w:color="auto" w:fill="D9D9D9"/>
            <w:vAlign w:val="center"/>
          </w:tcPr>
          <w:p>
            <w:pPr>
              <w:pStyle w:val="9"/>
              <w:adjustRightInd w:val="0"/>
              <w:snapToGrid w:val="0"/>
              <w:spacing w:after="0"/>
              <w:rPr>
                <w:rFonts w:hint="eastAsia" w:ascii="宋体" w:hAnsi="宋体" w:cs="宋体"/>
                <w:bCs/>
                <w:color w:val="000000"/>
                <w:lang w:val="en-US" w:eastAsia="zh-CN"/>
              </w:rPr>
            </w:pPr>
          </w:p>
        </w:tc>
        <w:tc>
          <w:tcPr>
            <w:tcW w:w="1607" w:type="dxa"/>
            <w:vAlign w:val="center"/>
          </w:tcPr>
          <w:p>
            <w:pPr>
              <w:pStyle w:val="9"/>
              <w:numPr>
                <w:ilvl w:val="0"/>
                <w:numId w:val="1"/>
              </w:numPr>
              <w:adjustRightInd w:val="0"/>
              <w:snapToGrid w:val="0"/>
              <w:spacing w:after="0"/>
              <w:ind w:left="0"/>
              <w:rPr>
                <w:rFonts w:hint="eastAsia" w:ascii="宋体" w:hAnsi="宋体" w:cs="Times New Roman"/>
                <w:kern w:val="2"/>
                <w:lang w:val="en-US" w:eastAsia="zh-CN" w:bidi="ar-SA"/>
              </w:rPr>
            </w:pPr>
            <w:r>
              <w:rPr>
                <w:rFonts w:hint="eastAsia" w:ascii="宋体" w:hAnsi="宋体" w:cs="Times New Roman"/>
                <w:kern w:val="2"/>
                <w:lang w:val="en-US" w:eastAsia="zh-CN" w:bidi="ar-SA"/>
              </w:rPr>
              <w:t>重庆浦里</w:t>
            </w:r>
          </w:p>
        </w:tc>
        <w:tc>
          <w:tcPr>
            <w:tcW w:w="6093" w:type="dxa"/>
          </w:tcPr>
          <w:p>
            <w:pPr>
              <w:pStyle w:val="25"/>
              <w:spacing w:after="0"/>
              <w:ind w:right="106"/>
              <w:jc w:val="both"/>
              <w:rPr>
                <w:rFonts w:hint="eastAsia" w:ascii="宋体" w:hAnsi="宋体" w:eastAsia="宋体"/>
                <w:lang w:eastAsia="zh-CN"/>
              </w:rPr>
            </w:pPr>
            <w:r>
              <w:rPr>
                <w:rFonts w:hint="eastAsia" w:ascii="宋体" w:hAnsi="宋体" w:eastAsia="宋体"/>
                <w:spacing w:val="9"/>
                <w:lang w:eastAsia="zh-CN"/>
              </w:rPr>
              <w:t>重庆浦里</w:t>
            </w:r>
            <w:r>
              <w:rPr>
                <w:rFonts w:ascii="宋体" w:hAnsi="宋体" w:eastAsia="宋体"/>
                <w:spacing w:val="9"/>
                <w:lang w:eastAsia="zh-CN"/>
              </w:rPr>
              <w:t>于</w:t>
            </w:r>
            <w:r>
              <w:rPr>
                <w:rFonts w:hint="eastAsia" w:ascii="宋体" w:hAnsi="宋体" w:eastAsia="宋体"/>
                <w:spacing w:val="9"/>
                <w:lang w:eastAsia="zh-CN"/>
              </w:rPr>
              <w:t>2013</w:t>
            </w:r>
            <w:r>
              <w:rPr>
                <w:rFonts w:ascii="宋体" w:hAnsi="宋体" w:eastAsia="宋体"/>
                <w:spacing w:val="9"/>
                <w:lang w:eastAsia="zh-CN"/>
              </w:rPr>
              <w:t>年</w:t>
            </w:r>
            <w:r>
              <w:rPr>
                <w:rFonts w:hint="eastAsia" w:ascii="宋体" w:hAnsi="宋体" w:eastAsia="宋体"/>
                <w:spacing w:val="9"/>
                <w:lang w:eastAsia="zh-CN"/>
              </w:rPr>
              <w:t>9</w:t>
            </w:r>
            <w:r>
              <w:rPr>
                <w:rFonts w:ascii="宋体" w:hAnsi="宋体" w:eastAsia="宋体"/>
                <w:spacing w:val="9"/>
                <w:lang w:eastAsia="zh-CN"/>
              </w:rPr>
              <w:t>月</w:t>
            </w:r>
            <w:r>
              <w:rPr>
                <w:rFonts w:hint="eastAsia" w:ascii="宋体" w:hAnsi="宋体" w:eastAsia="宋体"/>
                <w:spacing w:val="9"/>
                <w:lang w:eastAsia="zh-CN"/>
              </w:rPr>
              <w:t>2</w:t>
            </w:r>
            <w:r>
              <w:rPr>
                <w:rFonts w:ascii="宋体" w:hAnsi="宋体" w:eastAsia="宋体"/>
                <w:spacing w:val="9"/>
                <w:lang w:eastAsia="zh-CN"/>
              </w:rPr>
              <w:t>日成立于</w:t>
            </w:r>
            <w:r>
              <w:rPr>
                <w:rFonts w:hint="eastAsia" w:ascii="宋体" w:hAnsi="宋体" w:eastAsia="宋体"/>
                <w:spacing w:val="9"/>
                <w:lang w:eastAsia="zh-CN"/>
              </w:rPr>
              <w:t>重庆市开州区</w:t>
            </w:r>
            <w:r>
              <w:rPr>
                <w:rFonts w:ascii="宋体" w:hAnsi="宋体" w:eastAsia="宋体"/>
                <w:lang w:eastAsia="zh-CN"/>
              </w:rPr>
              <w:t>，主要业务为</w:t>
            </w:r>
            <w:r>
              <w:rPr>
                <w:rFonts w:hint="eastAsia" w:ascii="宋体" w:hAnsi="宋体" w:eastAsia="宋体"/>
                <w:lang w:eastAsia="zh-CN"/>
              </w:rPr>
              <w:t>浦里新区国有资产经营管理、房屋租赁、市场建设、商务信息咨询等</w:t>
            </w:r>
            <w:r>
              <w:rPr>
                <w:rFonts w:ascii="宋体" w:hAnsi="宋体" w:eastAsia="宋体"/>
                <w:lang w:eastAsia="zh-CN"/>
              </w:rPr>
              <w:t>。</w:t>
            </w:r>
          </w:p>
          <w:p>
            <w:pPr>
              <w:widowControl/>
              <w:adjustRightInd w:val="0"/>
              <w:snapToGrid w:val="0"/>
              <w:rPr>
                <w:rFonts w:hint="eastAsia" w:ascii="宋体" w:hAnsi="宋体" w:cs="宋体"/>
                <w:bCs/>
                <w:color w:val="000000"/>
                <w:kern w:val="0"/>
                <w:sz w:val="24"/>
              </w:rPr>
            </w:pPr>
            <w:r>
              <w:rPr>
                <w:rFonts w:hint="eastAsia" w:ascii="宋体" w:hAnsi="宋体"/>
                <w:spacing w:val="9"/>
                <w:sz w:val="24"/>
              </w:rPr>
              <w:t>重庆浦里</w:t>
            </w:r>
            <w:r>
              <w:rPr>
                <w:rFonts w:ascii="宋体" w:hAnsi="宋体"/>
                <w:spacing w:val="-5"/>
                <w:sz w:val="24"/>
              </w:rPr>
              <w:t>最终控制人</w:t>
            </w:r>
            <w:r>
              <w:rPr>
                <w:rFonts w:hint="eastAsia" w:ascii="宋体" w:hAnsi="宋体"/>
                <w:spacing w:val="-5"/>
                <w:sz w:val="24"/>
              </w:rPr>
              <w:t>为重庆市开州区国资委下属的重庆浦里开发投资集团有限公司</w:t>
            </w:r>
            <w:r>
              <w:rPr>
                <w:rFonts w:ascii="宋体" w:hAnsi="宋体"/>
                <w:spacing w:val="-5"/>
                <w:sz w:val="24"/>
              </w:rPr>
              <w:t>，主要业务为</w:t>
            </w:r>
            <w:r>
              <w:rPr>
                <w:rFonts w:hint="eastAsia" w:ascii="宋体" w:hAnsi="宋体"/>
                <w:sz w:val="24"/>
              </w:rPr>
              <w:t>开发建设、港口运输、服务金融等</w:t>
            </w:r>
            <w:r>
              <w:rPr>
                <w:rFonts w:ascii="宋体" w:hAnsi="宋体"/>
                <w:spacing w:val="-1"/>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940" w:type="dxa"/>
            <w:vMerge w:val="restart"/>
            <w:shd w:val="clear" w:color="auto" w:fill="D9D9D9"/>
            <w:vAlign w:val="center"/>
          </w:tcPr>
          <w:p>
            <w:pPr>
              <w:pStyle w:val="9"/>
              <w:adjustRightInd w:val="0"/>
              <w:snapToGrid w:val="0"/>
              <w:spacing w:after="0"/>
              <w:rPr>
                <w:rFonts w:hint="eastAsia" w:ascii="宋体" w:hAnsi="宋体" w:cs="宋体"/>
                <w:bCs/>
                <w:color w:val="000000"/>
                <w:lang w:val="en-US" w:eastAsia="zh-CN"/>
              </w:rPr>
            </w:pPr>
            <w:r>
              <w:rPr>
                <w:rFonts w:hint="eastAsia" w:ascii="宋体" w:hAnsi="宋体" w:cs="宋体"/>
                <w:bCs/>
                <w:color w:val="000000"/>
                <w:lang w:eastAsia="zh-CN"/>
              </w:rPr>
              <w:t>简易案件理由（可以单选，也可以多选）</w:t>
            </w:r>
          </w:p>
        </w:tc>
        <w:tc>
          <w:tcPr>
            <w:tcW w:w="7700" w:type="dxa"/>
            <w:gridSpan w:val="2"/>
            <w:vAlign w:val="center"/>
          </w:tcPr>
          <w:p>
            <w:pPr>
              <w:pStyle w:val="9"/>
              <w:adjustRightInd w:val="0"/>
              <w:snapToGrid w:val="0"/>
              <w:spacing w:after="0"/>
              <w:rPr>
                <w:rFonts w:hint="eastAsia"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1</w:t>
            </w:r>
            <w:r>
              <w:rPr>
                <w:rFonts w:hint="eastAsia" w:ascii="宋体" w:hAnsi="宋体" w:cs="宋体"/>
                <w:bCs/>
                <w:color w:val="000000"/>
                <w:lang w:val="en-US" w:eastAsia="zh-CN"/>
              </w:rPr>
              <w:t>.</w:t>
            </w:r>
            <w:r>
              <w:rPr>
                <w:rFonts w:hint="eastAsia" w:ascii="宋体" w:hAnsi="宋体" w:cs="宋体"/>
                <w:bCs/>
                <w:color w:val="000000"/>
                <w:lang w:eastAsia="zh-CN"/>
              </w:rPr>
              <w:t>在同一相关市场，参与集中的经营者所占的市场份额之和小于15%。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40" w:type="dxa"/>
            <w:vMerge w:val="continue"/>
            <w:shd w:val="clear" w:color="auto" w:fill="D9D9D9"/>
            <w:vAlign w:val="center"/>
          </w:tcPr>
          <w:p>
            <w:pPr>
              <w:pStyle w:val="9"/>
              <w:adjustRightInd w:val="0"/>
              <w:snapToGrid w:val="0"/>
              <w:spacing w:after="0"/>
              <w:rPr>
                <w:rFonts w:hint="eastAsia" w:ascii="宋体" w:hAnsi="宋体" w:cs="宋体"/>
                <w:bCs/>
                <w:color w:val="000000"/>
                <w:lang w:val="en-US" w:eastAsia="zh-CN"/>
              </w:rPr>
            </w:pPr>
          </w:p>
        </w:tc>
        <w:tc>
          <w:tcPr>
            <w:tcW w:w="7700" w:type="dxa"/>
            <w:gridSpan w:val="2"/>
            <w:vAlign w:val="center"/>
          </w:tcPr>
          <w:p>
            <w:pPr>
              <w:pStyle w:val="9"/>
              <w:adjustRightInd w:val="0"/>
              <w:snapToGrid w:val="0"/>
              <w:spacing w:after="0"/>
              <w:rPr>
                <w:rFonts w:hint="eastAsia"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2</w:t>
            </w:r>
            <w:r>
              <w:rPr>
                <w:rFonts w:hint="eastAsia" w:ascii="宋体" w:hAnsi="宋体" w:cs="宋体"/>
                <w:bCs/>
                <w:color w:val="000000"/>
                <w:lang w:val="en-US" w:eastAsia="zh-CN"/>
              </w:rPr>
              <w:t>.</w:t>
            </w:r>
            <w:r>
              <w:rPr>
                <w:rFonts w:hint="eastAsia" w:ascii="宋体" w:hAnsi="宋体" w:cs="宋体"/>
                <w:bCs/>
                <w:color w:val="000000"/>
                <w:lang w:eastAsia="zh-CN"/>
              </w:rPr>
              <w:t>在上下游市场，参与集中的经营者所占的市场份额均小于25%。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0" w:type="dxa"/>
            <w:vMerge w:val="continue"/>
            <w:shd w:val="clear" w:color="auto" w:fill="D9D9D9"/>
            <w:vAlign w:val="center"/>
          </w:tcPr>
          <w:p>
            <w:pPr>
              <w:pStyle w:val="9"/>
              <w:adjustRightInd w:val="0"/>
              <w:snapToGrid w:val="0"/>
              <w:spacing w:after="0"/>
              <w:rPr>
                <w:rFonts w:hint="eastAsia" w:ascii="宋体" w:hAnsi="宋体" w:cs="宋体"/>
                <w:bCs/>
                <w:color w:val="000000"/>
                <w:lang w:val="en-US" w:eastAsia="zh-CN"/>
              </w:rPr>
            </w:pPr>
          </w:p>
        </w:tc>
        <w:tc>
          <w:tcPr>
            <w:tcW w:w="7700" w:type="dxa"/>
            <w:gridSpan w:val="2"/>
            <w:vAlign w:val="center"/>
          </w:tcPr>
          <w:p>
            <w:pPr>
              <w:pStyle w:val="9"/>
              <w:adjustRightInd w:val="0"/>
              <w:snapToGrid w:val="0"/>
              <w:spacing w:after="0"/>
              <w:rPr>
                <w:rFonts w:hint="eastAsia" w:ascii="宋体" w:hAnsi="宋体" w:cs="宋体"/>
                <w:bCs/>
                <w:color w:val="FF0000"/>
                <w:lang w:val="en-US" w:eastAsia="zh-CN"/>
              </w:rPr>
            </w:pPr>
            <w:r>
              <w:rPr>
                <w:rFonts w:ascii="宋体" w:hAnsi="宋体" w:cs="Times New Roman"/>
                <w:bCs/>
                <w:color w:val="000000"/>
                <w:lang w:eastAsia="zh-CN"/>
              </w:rPr>
              <w:sym w:font="Wingdings" w:char="00FE"/>
            </w:r>
            <w:r>
              <w:rPr>
                <w:rFonts w:hint="eastAsia" w:ascii="宋体" w:hAnsi="宋体" w:cs="宋体"/>
                <w:bCs/>
                <w:color w:val="000000"/>
                <w:lang w:eastAsia="zh-CN"/>
              </w:rPr>
              <w:t xml:space="preserve"> 3</w:t>
            </w:r>
            <w:r>
              <w:rPr>
                <w:rFonts w:hint="eastAsia" w:ascii="宋体" w:hAnsi="宋体" w:cs="宋体"/>
                <w:bCs/>
                <w:color w:val="000000"/>
                <w:lang w:val="en-US" w:eastAsia="zh-CN"/>
              </w:rPr>
              <w:t>.</w:t>
            </w:r>
            <w:r>
              <w:rPr>
                <w:rFonts w:hint="eastAsia" w:ascii="宋体" w:hAnsi="宋体" w:cs="宋体"/>
                <w:bCs/>
                <w:color w:val="000000"/>
                <w:lang w:eastAsia="zh-CN"/>
              </w:rPr>
              <w:t>不在同一相关市场也不存在上下游关系的参与集中的经营者，在与交易有关的每个市场所占的市场份额均小于25%。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40" w:type="dxa"/>
            <w:vMerge w:val="continue"/>
            <w:shd w:val="clear" w:color="auto" w:fill="D9D9D9"/>
            <w:vAlign w:val="center"/>
          </w:tcPr>
          <w:p>
            <w:pPr>
              <w:pStyle w:val="9"/>
              <w:adjustRightInd w:val="0"/>
              <w:snapToGrid w:val="0"/>
              <w:spacing w:after="0"/>
              <w:rPr>
                <w:rFonts w:hint="eastAsia" w:ascii="宋体" w:hAnsi="宋体" w:cs="宋体"/>
                <w:bCs/>
                <w:color w:val="000000"/>
                <w:lang w:val="en-US" w:eastAsia="zh-CN"/>
              </w:rPr>
            </w:pPr>
          </w:p>
        </w:tc>
        <w:tc>
          <w:tcPr>
            <w:tcW w:w="7700" w:type="dxa"/>
            <w:gridSpan w:val="2"/>
            <w:vAlign w:val="center"/>
          </w:tcPr>
          <w:p>
            <w:pPr>
              <w:pStyle w:val="9"/>
              <w:adjustRightInd w:val="0"/>
              <w:snapToGrid w:val="0"/>
              <w:spacing w:after="0"/>
              <w:rPr>
                <w:rFonts w:hint="eastAsia"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4</w:t>
            </w:r>
            <w:r>
              <w:rPr>
                <w:rFonts w:hint="eastAsia" w:ascii="宋体" w:hAnsi="宋体" w:cs="宋体"/>
                <w:bCs/>
                <w:color w:val="000000"/>
                <w:lang w:val="en-US" w:eastAsia="zh-CN"/>
              </w:rPr>
              <w:t>.</w:t>
            </w:r>
            <w:r>
              <w:rPr>
                <w:rFonts w:hint="eastAsia" w:ascii="宋体" w:hAnsi="宋体" w:cs="宋体"/>
                <w:bCs/>
                <w:color w:val="000000"/>
                <w:lang w:eastAsia="zh-CN"/>
              </w:rPr>
              <w:t>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40" w:type="dxa"/>
            <w:vMerge w:val="continue"/>
            <w:shd w:val="clear" w:color="auto" w:fill="D9D9D9"/>
            <w:vAlign w:val="center"/>
          </w:tcPr>
          <w:p>
            <w:pPr>
              <w:pStyle w:val="9"/>
              <w:adjustRightInd w:val="0"/>
              <w:snapToGrid w:val="0"/>
              <w:spacing w:after="0"/>
              <w:rPr>
                <w:rFonts w:hint="eastAsia" w:ascii="宋体" w:hAnsi="宋体" w:cs="宋体"/>
                <w:bCs/>
                <w:color w:val="000000"/>
                <w:lang w:val="en-US" w:eastAsia="zh-CN"/>
              </w:rPr>
            </w:pPr>
          </w:p>
        </w:tc>
        <w:tc>
          <w:tcPr>
            <w:tcW w:w="7700" w:type="dxa"/>
            <w:gridSpan w:val="2"/>
            <w:vAlign w:val="center"/>
          </w:tcPr>
          <w:p>
            <w:pPr>
              <w:pStyle w:val="9"/>
              <w:adjustRightInd w:val="0"/>
              <w:snapToGrid w:val="0"/>
              <w:spacing w:after="0"/>
              <w:rPr>
                <w:rFonts w:hint="eastAsia"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5</w:t>
            </w:r>
            <w:r>
              <w:rPr>
                <w:rFonts w:hint="eastAsia" w:ascii="宋体" w:hAnsi="宋体" w:cs="宋体"/>
                <w:bCs/>
                <w:color w:val="000000"/>
                <w:lang w:val="en-US" w:eastAsia="zh-CN"/>
              </w:rPr>
              <w:t>.</w:t>
            </w:r>
            <w:r>
              <w:rPr>
                <w:rFonts w:hint="eastAsia" w:ascii="宋体" w:hAnsi="宋体" w:cs="宋体"/>
                <w:bCs/>
                <w:color w:val="000000"/>
                <w:lang w:eastAsia="zh-CN"/>
              </w:rPr>
              <w:t>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40" w:type="dxa"/>
            <w:vMerge w:val="continue"/>
            <w:shd w:val="clear" w:color="auto" w:fill="D9D9D9"/>
            <w:vAlign w:val="center"/>
          </w:tcPr>
          <w:p>
            <w:pPr>
              <w:pStyle w:val="9"/>
              <w:adjustRightInd w:val="0"/>
              <w:snapToGrid w:val="0"/>
              <w:spacing w:after="0"/>
              <w:rPr>
                <w:rFonts w:hint="eastAsia" w:ascii="宋体" w:hAnsi="宋体" w:cs="宋体"/>
                <w:bCs/>
                <w:color w:val="000000"/>
                <w:lang w:val="en-US" w:eastAsia="zh-CN"/>
              </w:rPr>
            </w:pPr>
          </w:p>
        </w:tc>
        <w:tc>
          <w:tcPr>
            <w:tcW w:w="7700" w:type="dxa"/>
            <w:gridSpan w:val="2"/>
            <w:vAlign w:val="center"/>
          </w:tcPr>
          <w:p>
            <w:pPr>
              <w:pStyle w:val="9"/>
              <w:adjustRightInd w:val="0"/>
              <w:snapToGrid w:val="0"/>
              <w:spacing w:after="0"/>
              <w:rPr>
                <w:rFonts w:hint="eastAsia"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6</w:t>
            </w:r>
            <w:r>
              <w:rPr>
                <w:rFonts w:hint="eastAsia" w:ascii="宋体" w:hAnsi="宋体" w:cs="宋体"/>
                <w:bCs/>
                <w:color w:val="000000"/>
                <w:lang w:val="en-US" w:eastAsia="zh-CN"/>
              </w:rPr>
              <w:t>.</w:t>
            </w:r>
            <w:r>
              <w:rPr>
                <w:rFonts w:hint="eastAsia" w:ascii="宋体" w:hAnsi="宋体" w:cs="宋体"/>
                <w:bCs/>
                <w:color w:val="000000"/>
                <w:lang w:eastAsia="zh-CN"/>
              </w:rPr>
              <w:t>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940" w:type="dxa"/>
            <w:shd w:val="clear" w:color="auto" w:fill="D9D9D9"/>
            <w:vAlign w:val="center"/>
          </w:tcPr>
          <w:p>
            <w:pPr>
              <w:pStyle w:val="9"/>
              <w:adjustRightInd w:val="0"/>
              <w:snapToGrid w:val="0"/>
              <w:spacing w:after="0"/>
              <w:rPr>
                <w:rFonts w:hint="eastAsia" w:ascii="宋体" w:hAnsi="宋体" w:cs="宋体"/>
                <w:bCs/>
                <w:color w:val="000000"/>
                <w:lang w:val="en-US" w:eastAsia="zh-CN"/>
              </w:rPr>
            </w:pPr>
            <w:r>
              <w:rPr>
                <w:rFonts w:hint="eastAsia" w:ascii="宋体" w:hAnsi="宋体" w:cs="宋体"/>
                <w:bCs/>
                <w:color w:val="000000"/>
                <w:lang w:val="en-US" w:eastAsia="zh-CN"/>
              </w:rPr>
              <w:t>备注</w:t>
            </w:r>
          </w:p>
        </w:tc>
        <w:tc>
          <w:tcPr>
            <w:tcW w:w="7700" w:type="dxa"/>
            <w:gridSpan w:val="2"/>
            <w:vAlign w:val="center"/>
          </w:tcPr>
          <w:p>
            <w:pPr>
              <w:pStyle w:val="25"/>
              <w:spacing w:after="0"/>
              <w:rPr>
                <w:rFonts w:hint="eastAsia" w:ascii="宋体" w:hAnsi="宋体" w:eastAsia="宋体"/>
                <w:b/>
                <w:bCs/>
                <w:spacing w:val="-1"/>
                <w:lang w:eastAsia="zh-CN"/>
              </w:rPr>
            </w:pPr>
            <w:r>
              <w:rPr>
                <w:rFonts w:hint="eastAsia" w:ascii="宋体" w:hAnsi="宋体" w:eastAsia="宋体"/>
                <w:b/>
                <w:bCs/>
                <w:spacing w:val="-1"/>
                <w:lang w:eastAsia="zh-CN"/>
              </w:rPr>
              <w:t>混合集中：</w:t>
            </w:r>
          </w:p>
          <w:p>
            <w:pPr>
              <w:pStyle w:val="25"/>
              <w:spacing w:after="0"/>
              <w:rPr>
                <w:rFonts w:hint="eastAsia" w:ascii="宋体" w:hAnsi="宋体" w:eastAsia="宋体"/>
                <w:spacing w:val="-11"/>
                <w:lang w:eastAsia="zh-CN"/>
              </w:rPr>
            </w:pPr>
            <w:r>
              <w:rPr>
                <w:rFonts w:hint="eastAsia" w:ascii="宋体" w:hAnsi="宋体" w:eastAsia="宋体"/>
                <w:spacing w:val="-11"/>
                <w:lang w:eastAsia="zh-CN"/>
              </w:rPr>
              <w:t>2023年中国境内城市管道天然气供应市场：</w:t>
            </w:r>
          </w:p>
          <w:p>
            <w:pPr>
              <w:pStyle w:val="25"/>
              <w:spacing w:after="0"/>
              <w:rPr>
                <w:rFonts w:hint="eastAsia" w:ascii="宋体" w:hAnsi="宋体" w:eastAsia="宋体"/>
                <w:spacing w:val="-11"/>
                <w:lang w:eastAsia="zh-CN"/>
              </w:rPr>
            </w:pPr>
            <w:r>
              <w:rPr>
                <w:rFonts w:hint="eastAsia" w:ascii="宋体" w:hAnsi="宋体" w:eastAsia="宋体"/>
                <w:spacing w:val="-11"/>
                <w:lang w:eastAsia="zh-CN"/>
              </w:rPr>
              <w:t>四川华盛：0-5%</w:t>
            </w:r>
          </w:p>
        </w:tc>
      </w:tr>
    </w:tbl>
    <w:p>
      <w:pPr>
        <w:pStyle w:val="9"/>
        <w:adjustRightInd w:val="0"/>
        <w:snapToGrid w:val="0"/>
        <w:spacing w:after="0"/>
        <w:rPr>
          <w:rFonts w:ascii="Arial" w:hAnsi="Arial" w:eastAsia="楷体_GB2312" w:cs="Arial"/>
          <w:b/>
          <w:color w:val="000000"/>
          <w:sz w:val="22"/>
          <w:szCs w:val="22"/>
          <w:lang w:eastAsia="zh-CN"/>
        </w:rPr>
      </w:pPr>
    </w:p>
    <w:sectPr>
      <w:endnotePr>
        <w:numFmt w:val="decimal"/>
      </w:endnotePr>
      <w:pgSz w:w="11906" w:h="16838"/>
      <w:pgMar w:top="1984" w:right="1474" w:bottom="164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ESI黑体-GB2312">
    <w:panose1 w:val="02000500000000000000"/>
    <w:charset w:val="86"/>
    <w:family w:val="auto"/>
    <w:pitch w:val="default"/>
    <w:sig w:usb0="800002BF" w:usb1="184F6CF8" w:usb2="00000012" w:usb3="00000000" w:csb0="0004000F" w:csb1="00000000"/>
  </w:font>
  <w:font w:name="CESI楷体-GB2312">
    <w:panose1 w:val="02000500000000000000"/>
    <w:charset w:val="86"/>
    <w:family w:val="auto"/>
    <w:pitch w:val="default"/>
    <w:sig w:usb0="800002BF" w:usb1="184F6CF8" w:usb2="00000012" w:usb3="00000000" w:csb0="0004000F" w:csb1="00000000"/>
  </w:font>
  <w:font w:name="方正楷体_GBK">
    <w:panose1 w:val="03000509000000000000"/>
    <w:charset w:val="86"/>
    <w:family w:val="script"/>
    <w:pitch w:val="default"/>
    <w:sig w:usb0="00000001" w:usb1="080E0000" w:usb2="00000000" w:usb3="00000000" w:csb0="00040000" w:csb1="00000000"/>
  </w:font>
  <w:font w:name="Simplified Arabic">
    <w:altName w:val="Times New Roman"/>
    <w:panose1 w:val="00000000000000000000"/>
    <w:charset w:val="B2"/>
    <w:family w:val="roman"/>
    <w:pitch w:val="default"/>
    <w:sig w:usb0="00000000" w:usb1="00000000" w:usb2="00000008" w:usb3="00000000" w:csb0="0000004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33199C"/>
    <w:multiLevelType w:val="multilevel"/>
    <w:tmpl w:val="2A33199C"/>
    <w:lvl w:ilvl="0" w:tentative="0">
      <w:start w:val="1"/>
      <w:numFmt w:val="decimal"/>
      <w:lvlText w:val="%1."/>
      <w:lvlJc w:val="left"/>
      <w:pPr>
        <w:ind w:left="360" w:hanging="360"/>
      </w:pPr>
      <w:rPr>
        <w:rFonts w:hint="eastAsia" w:cs="Simplified Arabic"/>
        <w:b/>
        <w:color w:val="auto"/>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4ODQwNThiYTg4YTBlNDhkZDRmNGNiNWM5NWE1YzAifQ=="/>
  </w:docVars>
  <w:rsids>
    <w:rsidRoot w:val="6FBDD792"/>
    <w:rsid w:val="00001379"/>
    <w:rsid w:val="00021C7F"/>
    <w:rsid w:val="000364AC"/>
    <w:rsid w:val="00036DE0"/>
    <w:rsid w:val="00050D12"/>
    <w:rsid w:val="0006577A"/>
    <w:rsid w:val="00092AEE"/>
    <w:rsid w:val="000A53B7"/>
    <w:rsid w:val="000A798E"/>
    <w:rsid w:val="000B3028"/>
    <w:rsid w:val="000C2315"/>
    <w:rsid w:val="000E194F"/>
    <w:rsid w:val="000E3557"/>
    <w:rsid w:val="000E645A"/>
    <w:rsid w:val="001211F1"/>
    <w:rsid w:val="00123814"/>
    <w:rsid w:val="001249AA"/>
    <w:rsid w:val="00131DC3"/>
    <w:rsid w:val="0014100D"/>
    <w:rsid w:val="001858F2"/>
    <w:rsid w:val="001974AA"/>
    <w:rsid w:val="001B0FD9"/>
    <w:rsid w:val="001C3E42"/>
    <w:rsid w:val="00200DDE"/>
    <w:rsid w:val="00240DF1"/>
    <w:rsid w:val="002440C8"/>
    <w:rsid w:val="002608EB"/>
    <w:rsid w:val="0026259E"/>
    <w:rsid w:val="00262A50"/>
    <w:rsid w:val="0026730B"/>
    <w:rsid w:val="00284572"/>
    <w:rsid w:val="002A5E23"/>
    <w:rsid w:val="002C47B0"/>
    <w:rsid w:val="002F5246"/>
    <w:rsid w:val="00310D71"/>
    <w:rsid w:val="003111C8"/>
    <w:rsid w:val="00312EA2"/>
    <w:rsid w:val="00332691"/>
    <w:rsid w:val="00336766"/>
    <w:rsid w:val="003447C9"/>
    <w:rsid w:val="00366D9A"/>
    <w:rsid w:val="00394D7A"/>
    <w:rsid w:val="003B5307"/>
    <w:rsid w:val="003D241F"/>
    <w:rsid w:val="003E5B24"/>
    <w:rsid w:val="00416AE8"/>
    <w:rsid w:val="0042072B"/>
    <w:rsid w:val="00430A97"/>
    <w:rsid w:val="0043337E"/>
    <w:rsid w:val="004665BC"/>
    <w:rsid w:val="004A1D47"/>
    <w:rsid w:val="004A32D5"/>
    <w:rsid w:val="004F3E7B"/>
    <w:rsid w:val="005070F6"/>
    <w:rsid w:val="00512B5B"/>
    <w:rsid w:val="00551200"/>
    <w:rsid w:val="005573C4"/>
    <w:rsid w:val="00565B67"/>
    <w:rsid w:val="00574A72"/>
    <w:rsid w:val="00586BE1"/>
    <w:rsid w:val="005912FD"/>
    <w:rsid w:val="00593172"/>
    <w:rsid w:val="005D3DE4"/>
    <w:rsid w:val="005E1752"/>
    <w:rsid w:val="006011DE"/>
    <w:rsid w:val="00605778"/>
    <w:rsid w:val="00606FDC"/>
    <w:rsid w:val="0062652E"/>
    <w:rsid w:val="00630FC3"/>
    <w:rsid w:val="00654F32"/>
    <w:rsid w:val="00691C2B"/>
    <w:rsid w:val="006E2DDC"/>
    <w:rsid w:val="006F6304"/>
    <w:rsid w:val="007057E7"/>
    <w:rsid w:val="00706C8C"/>
    <w:rsid w:val="00744A97"/>
    <w:rsid w:val="007A2B05"/>
    <w:rsid w:val="007B7C13"/>
    <w:rsid w:val="007C117F"/>
    <w:rsid w:val="007C4CAB"/>
    <w:rsid w:val="007F01AB"/>
    <w:rsid w:val="00810CCE"/>
    <w:rsid w:val="00812C44"/>
    <w:rsid w:val="008320AD"/>
    <w:rsid w:val="00834F02"/>
    <w:rsid w:val="008532BF"/>
    <w:rsid w:val="00856B7D"/>
    <w:rsid w:val="00863781"/>
    <w:rsid w:val="00863C4E"/>
    <w:rsid w:val="00866ED4"/>
    <w:rsid w:val="008722A4"/>
    <w:rsid w:val="00876C91"/>
    <w:rsid w:val="00883288"/>
    <w:rsid w:val="00885D49"/>
    <w:rsid w:val="008A5C3F"/>
    <w:rsid w:val="008A685A"/>
    <w:rsid w:val="008B49A8"/>
    <w:rsid w:val="008B5D1D"/>
    <w:rsid w:val="008C2708"/>
    <w:rsid w:val="008C289F"/>
    <w:rsid w:val="008C2D72"/>
    <w:rsid w:val="008C38FC"/>
    <w:rsid w:val="008D3E30"/>
    <w:rsid w:val="008F16CB"/>
    <w:rsid w:val="008F189C"/>
    <w:rsid w:val="0091694A"/>
    <w:rsid w:val="00930AE3"/>
    <w:rsid w:val="00952DCD"/>
    <w:rsid w:val="0095669F"/>
    <w:rsid w:val="009675DF"/>
    <w:rsid w:val="0097684D"/>
    <w:rsid w:val="00994540"/>
    <w:rsid w:val="009A3A2F"/>
    <w:rsid w:val="009B5F7F"/>
    <w:rsid w:val="009E7704"/>
    <w:rsid w:val="009F74A6"/>
    <w:rsid w:val="00A104B4"/>
    <w:rsid w:val="00A257E7"/>
    <w:rsid w:val="00A40926"/>
    <w:rsid w:val="00A42103"/>
    <w:rsid w:val="00A51163"/>
    <w:rsid w:val="00A601A2"/>
    <w:rsid w:val="00A76275"/>
    <w:rsid w:val="00A76AA1"/>
    <w:rsid w:val="00A9198A"/>
    <w:rsid w:val="00AA1E00"/>
    <w:rsid w:val="00AD39C6"/>
    <w:rsid w:val="00AE2766"/>
    <w:rsid w:val="00AF5122"/>
    <w:rsid w:val="00B21E02"/>
    <w:rsid w:val="00B232F0"/>
    <w:rsid w:val="00B51C04"/>
    <w:rsid w:val="00B64AC9"/>
    <w:rsid w:val="00B81084"/>
    <w:rsid w:val="00B84249"/>
    <w:rsid w:val="00BC593A"/>
    <w:rsid w:val="00BC6ED5"/>
    <w:rsid w:val="00BC72EF"/>
    <w:rsid w:val="00BC78A9"/>
    <w:rsid w:val="00BF2CA2"/>
    <w:rsid w:val="00C01ED6"/>
    <w:rsid w:val="00C040FA"/>
    <w:rsid w:val="00C0499F"/>
    <w:rsid w:val="00C15EAE"/>
    <w:rsid w:val="00C26938"/>
    <w:rsid w:val="00C32D6E"/>
    <w:rsid w:val="00C36C4C"/>
    <w:rsid w:val="00C567DF"/>
    <w:rsid w:val="00C62FA2"/>
    <w:rsid w:val="00C80CB1"/>
    <w:rsid w:val="00CB2A7D"/>
    <w:rsid w:val="00CD25EE"/>
    <w:rsid w:val="00CF0D62"/>
    <w:rsid w:val="00CF3FBA"/>
    <w:rsid w:val="00D31313"/>
    <w:rsid w:val="00D347B2"/>
    <w:rsid w:val="00D51426"/>
    <w:rsid w:val="00D60E4E"/>
    <w:rsid w:val="00D63A1F"/>
    <w:rsid w:val="00D65246"/>
    <w:rsid w:val="00D71A9E"/>
    <w:rsid w:val="00D71EA5"/>
    <w:rsid w:val="00D7315E"/>
    <w:rsid w:val="00D746AF"/>
    <w:rsid w:val="00D77817"/>
    <w:rsid w:val="00D9739E"/>
    <w:rsid w:val="00DB2233"/>
    <w:rsid w:val="00DB4716"/>
    <w:rsid w:val="00DB4EA0"/>
    <w:rsid w:val="00DB5F3F"/>
    <w:rsid w:val="00DD0DBD"/>
    <w:rsid w:val="00DD4C54"/>
    <w:rsid w:val="00E171F3"/>
    <w:rsid w:val="00E56632"/>
    <w:rsid w:val="00EB78C5"/>
    <w:rsid w:val="00EC4D8A"/>
    <w:rsid w:val="00EC749D"/>
    <w:rsid w:val="00EF4721"/>
    <w:rsid w:val="00EF50A8"/>
    <w:rsid w:val="00F1115B"/>
    <w:rsid w:val="00F1400C"/>
    <w:rsid w:val="00F3761A"/>
    <w:rsid w:val="00F67F83"/>
    <w:rsid w:val="00F818F1"/>
    <w:rsid w:val="00FC2860"/>
    <w:rsid w:val="00FC7FA3"/>
    <w:rsid w:val="00FE6124"/>
    <w:rsid w:val="00FF0A0C"/>
    <w:rsid w:val="04C66C1A"/>
    <w:rsid w:val="1D6F6EFE"/>
    <w:rsid w:val="1F7C72D8"/>
    <w:rsid w:val="2D246E2C"/>
    <w:rsid w:val="33A9646D"/>
    <w:rsid w:val="3EFED501"/>
    <w:rsid w:val="3F7F152F"/>
    <w:rsid w:val="3FFB76BA"/>
    <w:rsid w:val="46DFCD99"/>
    <w:rsid w:val="49659447"/>
    <w:rsid w:val="511432B7"/>
    <w:rsid w:val="5596691C"/>
    <w:rsid w:val="59FAB6B4"/>
    <w:rsid w:val="5C6AC506"/>
    <w:rsid w:val="5DBB2A74"/>
    <w:rsid w:val="5F09CE98"/>
    <w:rsid w:val="6AFC31C5"/>
    <w:rsid w:val="6B8148C3"/>
    <w:rsid w:val="6E9FB973"/>
    <w:rsid w:val="6FBDD792"/>
    <w:rsid w:val="74D42207"/>
    <w:rsid w:val="76D76867"/>
    <w:rsid w:val="76FE3A0F"/>
    <w:rsid w:val="79FEBADB"/>
    <w:rsid w:val="7AFFB2DD"/>
    <w:rsid w:val="7BE9FB5F"/>
    <w:rsid w:val="7D7D4415"/>
    <w:rsid w:val="7F4A2270"/>
    <w:rsid w:val="7F6F728B"/>
    <w:rsid w:val="7FEF3501"/>
    <w:rsid w:val="8EAE45C5"/>
    <w:rsid w:val="9B68F012"/>
    <w:rsid w:val="9B7FA9C1"/>
    <w:rsid w:val="9F9DCBBF"/>
    <w:rsid w:val="BBD36F41"/>
    <w:rsid w:val="BC3517BA"/>
    <w:rsid w:val="BEB34A7A"/>
    <w:rsid w:val="D76F6EF4"/>
    <w:rsid w:val="DFBC2832"/>
    <w:rsid w:val="DFFC4C00"/>
    <w:rsid w:val="DFFCC2EC"/>
    <w:rsid w:val="EF7CA40F"/>
    <w:rsid w:val="EFFF9D5B"/>
    <w:rsid w:val="F0CF0FA1"/>
    <w:rsid w:val="F5DFACF9"/>
    <w:rsid w:val="F78D7951"/>
    <w:rsid w:val="F7BD343A"/>
    <w:rsid w:val="F7DBD425"/>
    <w:rsid w:val="FB46F0CF"/>
    <w:rsid w:val="FDFD57FD"/>
    <w:rsid w:val="FEFB7B3A"/>
    <w:rsid w:val="FEFED215"/>
    <w:rsid w:val="FEFF3882"/>
    <w:rsid w:val="FFC7B96D"/>
    <w:rsid w:val="FFFCE7EB"/>
    <w:rsid w:val="FFFF7513"/>
    <w:rsid w:val="FFFF9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jc w:val="center"/>
      <w:outlineLvl w:val="0"/>
    </w:pPr>
    <w:rPr>
      <w:rFonts w:ascii="Calibri" w:hAnsi="Calibri" w:eastAsia="CESI黑体-GB2312"/>
      <w:kern w:val="44"/>
      <w:sz w:val="36"/>
    </w:rPr>
  </w:style>
  <w:style w:type="paragraph" w:styleId="4">
    <w:name w:val="heading 2"/>
    <w:basedOn w:val="1"/>
    <w:next w:val="1"/>
    <w:qFormat/>
    <w:uiPriority w:val="0"/>
    <w:pPr>
      <w:keepNext/>
      <w:keepLines/>
      <w:spacing w:before="260" w:after="260"/>
      <w:jc w:val="center"/>
      <w:outlineLvl w:val="1"/>
    </w:pPr>
    <w:rPr>
      <w:rFonts w:ascii="Arial" w:hAnsi="Arial" w:eastAsia="黑体"/>
      <w:sz w:val="32"/>
    </w:rPr>
  </w:style>
  <w:style w:type="paragraph" w:styleId="5">
    <w:name w:val="heading 3"/>
    <w:basedOn w:val="1"/>
    <w:next w:val="1"/>
    <w:qFormat/>
    <w:uiPriority w:val="0"/>
    <w:pPr>
      <w:keepNext/>
      <w:keepLines/>
      <w:spacing w:before="260" w:after="260"/>
      <w:jc w:val="center"/>
      <w:outlineLvl w:val="2"/>
    </w:pPr>
    <w:rPr>
      <w:rFonts w:ascii="Calibri" w:hAnsi="Calibri" w:eastAsia="CESI楷体-GB2312"/>
      <w:sz w:val="30"/>
    </w:rPr>
  </w:style>
  <w:style w:type="paragraph" w:styleId="6">
    <w:name w:val="heading 4"/>
    <w:basedOn w:val="1"/>
    <w:next w:val="1"/>
    <w:link w:val="17"/>
    <w:qFormat/>
    <w:uiPriority w:val="0"/>
    <w:pPr>
      <w:keepNext/>
      <w:keepLines/>
      <w:spacing w:before="280" w:after="290"/>
      <w:jc w:val="left"/>
      <w:outlineLvl w:val="3"/>
    </w:pPr>
    <w:rPr>
      <w:rFonts w:ascii="Arial" w:hAnsi="Arial" w:eastAsia="方正楷体_GBK"/>
      <w:color w:val="C00000"/>
      <w:sz w:val="28"/>
    </w:rPr>
  </w:style>
  <w:style w:type="paragraph" w:styleId="7">
    <w:name w:val="heading 5"/>
    <w:basedOn w:val="1"/>
    <w:next w:val="1"/>
    <w:qFormat/>
    <w:uiPriority w:val="0"/>
    <w:pPr>
      <w:keepNext/>
      <w:keepLines/>
      <w:spacing w:before="280" w:after="290" w:line="372" w:lineRule="auto"/>
      <w:outlineLvl w:val="4"/>
    </w:pPr>
    <w:rPr>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macro"/>
    <w:link w:val="23"/>
    <w:qFormat/>
    <w:uiPriority w:val="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eastAsia="宋体" w:cs="Courier New"/>
      <w:lang w:val="en-GB" w:eastAsia="zh-CN" w:bidi="ar-AE"/>
    </w:rPr>
  </w:style>
  <w:style w:type="paragraph" w:styleId="8">
    <w:name w:val="annotation text"/>
    <w:basedOn w:val="1"/>
    <w:link w:val="21"/>
    <w:qFormat/>
    <w:uiPriority w:val="0"/>
    <w:pPr>
      <w:jc w:val="left"/>
    </w:pPr>
  </w:style>
  <w:style w:type="paragraph" w:styleId="9">
    <w:name w:val="Body Text"/>
    <w:link w:val="24"/>
    <w:qFormat/>
    <w:uiPriority w:val="0"/>
    <w:pPr>
      <w:spacing w:after="240"/>
      <w:jc w:val="both"/>
    </w:pPr>
    <w:rPr>
      <w:rFonts w:ascii="Times New Roman" w:hAnsi="Times New Roman" w:eastAsia="宋体" w:cs="Simplified Arabic"/>
      <w:sz w:val="24"/>
      <w:szCs w:val="24"/>
      <w:lang w:val="en-GB" w:eastAsia="en-GB" w:bidi="ar-AE"/>
    </w:rPr>
  </w:style>
  <w:style w:type="paragraph" w:styleId="10">
    <w:name w:val="footer"/>
    <w:basedOn w:val="1"/>
    <w:link w:val="20"/>
    <w:qFormat/>
    <w:uiPriority w:val="0"/>
    <w:pPr>
      <w:tabs>
        <w:tab w:val="center" w:pos="4153"/>
        <w:tab w:val="right" w:pos="8306"/>
      </w:tabs>
      <w:snapToGrid w:val="0"/>
      <w:jc w:val="left"/>
    </w:pPr>
    <w:rPr>
      <w:sz w:val="18"/>
      <w:szCs w:val="18"/>
    </w:rPr>
  </w:style>
  <w:style w:type="paragraph" w:styleId="11">
    <w:name w:val="header"/>
    <w:basedOn w:val="1"/>
    <w:link w:val="19"/>
    <w:qFormat/>
    <w:uiPriority w:val="0"/>
    <w:pPr>
      <w:tabs>
        <w:tab w:val="center" w:pos="4153"/>
        <w:tab w:val="right" w:pos="8306"/>
      </w:tabs>
      <w:snapToGrid w:val="0"/>
      <w:jc w:val="center"/>
    </w:pPr>
    <w:rPr>
      <w:sz w:val="18"/>
      <w:szCs w:val="18"/>
    </w:rPr>
  </w:style>
  <w:style w:type="paragraph" w:styleId="12">
    <w:name w:val="annotation subject"/>
    <w:basedOn w:val="8"/>
    <w:next w:val="8"/>
    <w:link w:val="22"/>
    <w:qFormat/>
    <w:uiPriority w:val="0"/>
    <w:rPr>
      <w:b/>
      <w:bCs/>
    </w:rPr>
  </w:style>
  <w:style w:type="table" w:styleId="14">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character" w:styleId="16">
    <w:name w:val="annotation reference"/>
    <w:qFormat/>
    <w:uiPriority w:val="0"/>
    <w:rPr>
      <w:sz w:val="21"/>
      <w:szCs w:val="21"/>
    </w:rPr>
  </w:style>
  <w:style w:type="character" w:customStyle="1" w:styleId="17">
    <w:name w:val="标题 4 字符"/>
    <w:link w:val="6"/>
    <w:qFormat/>
    <w:uiPriority w:val="0"/>
    <w:rPr>
      <w:rFonts w:ascii="Arial" w:hAnsi="Arial" w:eastAsia="方正楷体_GBK"/>
      <w:color w:val="C00000"/>
      <w:sz w:val="28"/>
    </w:rPr>
  </w:style>
  <w:style w:type="paragraph" w:customStyle="1" w:styleId="18">
    <w:name w:val="标题五"/>
    <w:basedOn w:val="7"/>
    <w:next w:val="1"/>
    <w:qFormat/>
    <w:uiPriority w:val="0"/>
    <w:rPr>
      <w:rFonts w:ascii="Arial" w:hAnsi="Arial" w:eastAsia="黑体" w:cs="Arial"/>
      <w:b w:val="0"/>
      <w:snapToGrid w:val="0"/>
      <w:color w:val="000000"/>
      <w:kern w:val="0"/>
      <w:sz w:val="21"/>
      <w:szCs w:val="21"/>
    </w:rPr>
  </w:style>
  <w:style w:type="character" w:customStyle="1" w:styleId="19">
    <w:name w:val="页眉 字符"/>
    <w:link w:val="11"/>
    <w:qFormat/>
    <w:uiPriority w:val="0"/>
    <w:rPr>
      <w:rFonts w:ascii="Times New Roman" w:hAnsi="Times New Roman"/>
      <w:kern w:val="2"/>
      <w:sz w:val="18"/>
      <w:szCs w:val="18"/>
    </w:rPr>
  </w:style>
  <w:style w:type="character" w:customStyle="1" w:styleId="20">
    <w:name w:val="页脚 字符"/>
    <w:link w:val="10"/>
    <w:qFormat/>
    <w:uiPriority w:val="0"/>
    <w:rPr>
      <w:rFonts w:ascii="Times New Roman" w:hAnsi="Times New Roman"/>
      <w:kern w:val="2"/>
      <w:sz w:val="18"/>
      <w:szCs w:val="18"/>
    </w:rPr>
  </w:style>
  <w:style w:type="character" w:customStyle="1" w:styleId="21">
    <w:name w:val="批注文字 字符"/>
    <w:link w:val="8"/>
    <w:qFormat/>
    <w:uiPriority w:val="0"/>
    <w:rPr>
      <w:rFonts w:ascii="Times New Roman" w:hAnsi="Times New Roman"/>
      <w:kern w:val="2"/>
      <w:sz w:val="21"/>
      <w:szCs w:val="24"/>
    </w:rPr>
  </w:style>
  <w:style w:type="character" w:customStyle="1" w:styleId="22">
    <w:name w:val="批注主题 字符"/>
    <w:link w:val="12"/>
    <w:qFormat/>
    <w:uiPriority w:val="0"/>
    <w:rPr>
      <w:rFonts w:ascii="Times New Roman" w:hAnsi="Times New Roman"/>
      <w:b/>
      <w:bCs/>
      <w:kern w:val="2"/>
      <w:sz w:val="21"/>
      <w:szCs w:val="24"/>
    </w:rPr>
  </w:style>
  <w:style w:type="character" w:customStyle="1" w:styleId="23">
    <w:name w:val="宏文本 字符"/>
    <w:link w:val="2"/>
    <w:qFormat/>
    <w:uiPriority w:val="0"/>
    <w:rPr>
      <w:rFonts w:ascii="Courier New" w:hAnsi="Courier New" w:cs="Courier New"/>
      <w:lang w:val="en-GB" w:bidi="ar-AE"/>
    </w:rPr>
  </w:style>
  <w:style w:type="character" w:customStyle="1" w:styleId="24">
    <w:name w:val="正文文本 字符"/>
    <w:link w:val="9"/>
    <w:qFormat/>
    <w:uiPriority w:val="0"/>
    <w:rPr>
      <w:rFonts w:ascii="Times New Roman" w:hAnsi="Times New Roman" w:cs="Simplified Arabic"/>
      <w:sz w:val="24"/>
      <w:szCs w:val="24"/>
      <w:lang w:val="en-GB" w:eastAsia="en-GB" w:bidi="ar-AE"/>
    </w:rPr>
  </w:style>
  <w:style w:type="paragraph" w:customStyle="1" w:styleId="25">
    <w:name w:val="Table Text"/>
    <w:basedOn w:val="1"/>
    <w:semiHidden/>
    <w:qFormat/>
    <w:uiPriority w:val="0"/>
    <w:pPr>
      <w:widowControl/>
      <w:kinsoku w:val="0"/>
      <w:autoSpaceDE w:val="0"/>
      <w:autoSpaceDN w:val="0"/>
      <w:adjustRightInd w:val="0"/>
      <w:snapToGrid w:val="0"/>
      <w:spacing w:after="160"/>
      <w:jc w:val="left"/>
      <w:textAlignment w:val="baseline"/>
    </w:pPr>
    <w:rPr>
      <w:rFonts w:ascii="微软雅黑" w:hAnsi="微软雅黑" w:eastAsia="微软雅黑" w:cs="微软雅黑"/>
      <w:snapToGrid w:val="0"/>
      <w:color w:val="000000"/>
      <w:kern w:val="0"/>
      <w:sz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118</Words>
  <Characters>676</Characters>
  <Lines>5</Lines>
  <Paragraphs>1</Paragraphs>
  <TotalTime>10</TotalTime>
  <ScaleCrop>false</ScaleCrop>
  <LinksUpToDate>false</LinksUpToDate>
  <CharactersWithSpaces>793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2025-04-30T01:29:00Z</dcterms:created>
  <dc:creator>oa</dc:creator>
  <cp:lastModifiedBy>scjgj</cp:lastModifiedBy>
  <dcterms:modified xsi:type="dcterms:W3CDTF">2025-04-30T13:02:56Z</dcterms:modified>
  <dc:title>附件4</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D8680CD3A85E461D813FF634F907EA05_12</vt:lpwstr>
  </property>
</Properties>
</file>