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微软雅黑" w:eastAsia="方正小标宋简体"/>
          <w:color w:val="111F2C"/>
          <w:sz w:val="44"/>
          <w:szCs w:val="44"/>
          <w:shd w:val="clear" w:color="auto" w:fill="FFFFFF"/>
        </w:rPr>
      </w:pPr>
      <w:r>
        <w:rPr>
          <w:rFonts w:hint="eastAsia" w:ascii="方正小标宋简体" w:hAnsi="微软雅黑" w:eastAsia="方正小标宋简体"/>
          <w:color w:val="111F2C"/>
          <w:sz w:val="44"/>
          <w:szCs w:val="44"/>
          <w:shd w:val="clear" w:color="auto" w:fill="FFFFFF"/>
        </w:rPr>
        <w:t>重庆市大足区市场监督管理局</w:t>
      </w:r>
    </w:p>
    <w:p>
      <w:pPr>
        <w:spacing w:line="600" w:lineRule="exact"/>
        <w:jc w:val="center"/>
        <w:rPr>
          <w:rFonts w:ascii="方正小标宋简体" w:hAnsi="微软雅黑" w:eastAsia="方正小标宋简体"/>
          <w:color w:val="111F2C"/>
          <w:sz w:val="44"/>
          <w:szCs w:val="44"/>
          <w:shd w:val="clear" w:color="auto" w:fill="FFFFFF"/>
        </w:rPr>
      </w:pPr>
      <w:r>
        <w:rPr>
          <w:rFonts w:hint="eastAsia" w:ascii="方正小标宋简体" w:hAnsi="微软雅黑" w:eastAsia="方正小标宋简体"/>
          <w:color w:val="111F2C"/>
          <w:sz w:val="44"/>
          <w:szCs w:val="44"/>
          <w:shd w:val="clear" w:color="auto" w:fill="FFFFFF"/>
          <w:lang w:val="en-US" w:eastAsia="zh-CN"/>
        </w:rPr>
        <w:t>2020年</w:t>
      </w:r>
      <w:bookmarkStart w:id="0" w:name="_GoBack"/>
      <w:bookmarkEnd w:id="0"/>
      <w:r>
        <w:rPr>
          <w:rFonts w:hint="eastAsia" w:ascii="方正小标宋简体" w:hAnsi="微软雅黑" w:eastAsia="方正小标宋简体"/>
          <w:color w:val="111F2C"/>
          <w:sz w:val="44"/>
          <w:szCs w:val="44"/>
          <w:shd w:val="clear" w:color="auto" w:fill="FFFFFF"/>
        </w:rPr>
        <w:t>政府信息公开工作年度报告</w:t>
      </w:r>
    </w:p>
    <w:p>
      <w:pPr>
        <w:spacing w:line="560" w:lineRule="atLeast"/>
        <w:ind w:firstLine="630"/>
        <w:jc w:val="left"/>
        <w:rPr>
          <w:rFonts w:ascii="仿宋" w:hAnsi="仿宋" w:eastAsia="仿宋"/>
          <w:color w:val="111F2C"/>
          <w:sz w:val="32"/>
          <w:szCs w:val="32"/>
          <w:shd w:val="clear" w:color="auto" w:fill="FFFFFF"/>
        </w:rPr>
      </w:pPr>
      <w:r>
        <w:rPr>
          <w:rFonts w:hint="eastAsia" w:ascii="仿宋" w:hAnsi="仿宋" w:eastAsia="仿宋"/>
          <w:color w:val="111F2C"/>
          <w:sz w:val="32"/>
          <w:szCs w:val="32"/>
        </w:rPr>
        <w:br w:type="textWrapping"/>
      </w:r>
      <w:r>
        <w:rPr>
          <w:rFonts w:hint="eastAsia" w:ascii="仿宋" w:hAnsi="仿宋" w:eastAsia="仿宋"/>
          <w:color w:val="111F2C"/>
          <w:sz w:val="32"/>
          <w:szCs w:val="32"/>
          <w:shd w:val="clear" w:color="auto" w:fill="FFFFFF"/>
        </w:rPr>
        <w:t xml:space="preserve">   一、总体情况</w:t>
      </w:r>
    </w:p>
    <w:p>
      <w:pPr>
        <w:pStyle w:val="6"/>
        <w:spacing w:before="0" w:beforeAutospacing="0" w:after="0" w:afterAutospacing="0" w:line="420" w:lineRule="atLeast"/>
        <w:ind w:firstLine="640" w:firstLineChars="200"/>
        <w:rPr>
          <w:rFonts w:ascii="仿宋" w:hAnsi="仿宋" w:eastAsia="仿宋" w:cs="Times New Roman"/>
          <w:color w:val="111F2C"/>
          <w:kern w:val="2"/>
          <w:sz w:val="32"/>
          <w:szCs w:val="32"/>
          <w:shd w:val="clear" w:color="auto" w:fill="FFFFFF"/>
        </w:rPr>
      </w:pPr>
      <w:r>
        <w:rPr>
          <w:rFonts w:hint="eastAsia" w:ascii="仿宋" w:hAnsi="仿宋" w:eastAsia="仿宋" w:cs="Times New Roman"/>
          <w:color w:val="111F2C"/>
          <w:kern w:val="2"/>
          <w:sz w:val="32"/>
          <w:szCs w:val="32"/>
          <w:shd w:val="clear" w:color="auto" w:fill="FFFFFF"/>
        </w:rPr>
        <w:t>2020年，重庆市大足区市场监督管理局在以习近平新时代中国特色社会主义思想的指导下，按照《中华人民共和国政府信息公开条例》要求，深入贯彻落实市局、区委区政府关于政府信息公开工作的具体安排，积极加强与信息受众沟通交流，尽其所能做到规范高效人民满意，现将具体工作情况报告如下：</w:t>
      </w:r>
    </w:p>
    <w:p>
      <w:pPr>
        <w:pStyle w:val="6"/>
        <w:spacing w:before="0" w:beforeAutospacing="0" w:after="0" w:afterAutospacing="0" w:line="420" w:lineRule="atLeast"/>
        <w:ind w:firstLine="480"/>
        <w:rPr>
          <w:rFonts w:ascii="仿宋" w:hAnsi="仿宋" w:eastAsia="仿宋" w:cs="Times New Roman"/>
          <w:color w:val="111F2C"/>
          <w:kern w:val="2"/>
          <w:sz w:val="32"/>
          <w:szCs w:val="32"/>
          <w:shd w:val="clear" w:color="auto" w:fill="FFFFFF"/>
        </w:rPr>
      </w:pPr>
      <w:r>
        <w:rPr>
          <w:rFonts w:hint="eastAsia" w:ascii="仿宋" w:hAnsi="仿宋" w:eastAsia="仿宋" w:cs="Times New Roman"/>
          <w:color w:val="111F2C"/>
          <w:kern w:val="2"/>
          <w:sz w:val="32"/>
          <w:szCs w:val="32"/>
          <w:shd w:val="clear" w:color="auto" w:fill="FFFFFF"/>
        </w:rPr>
        <w:t>（一）主动公开</w:t>
      </w:r>
    </w:p>
    <w:p>
      <w:pPr>
        <w:pStyle w:val="6"/>
        <w:spacing w:before="0" w:beforeAutospacing="0" w:after="0" w:afterAutospacing="0" w:line="420" w:lineRule="atLeast"/>
        <w:ind w:firstLine="480"/>
        <w:rPr>
          <w:rFonts w:ascii="仿宋" w:hAnsi="仿宋" w:eastAsia="仿宋" w:cs="Times New Roman"/>
          <w:color w:val="111F2C"/>
          <w:kern w:val="2"/>
          <w:sz w:val="32"/>
          <w:szCs w:val="32"/>
          <w:shd w:val="clear" w:color="auto" w:fill="FFFFFF"/>
        </w:rPr>
      </w:pPr>
      <w:r>
        <w:rPr>
          <w:rFonts w:hint="eastAsia" w:ascii="仿宋" w:hAnsi="仿宋" w:eastAsia="仿宋" w:cs="Times New Roman"/>
          <w:color w:val="111F2C"/>
          <w:kern w:val="2"/>
          <w:sz w:val="32"/>
          <w:szCs w:val="32"/>
          <w:shd w:val="clear" w:color="auto" w:fill="FFFFFF"/>
        </w:rPr>
        <w:t>在门户网站规范设置“政务公开”内容版块，分类逐项设置履职依据、机关简介、预算决算等集中公开页面。严格落实政府信息公开法定义务，积极在政府网站、国家企业信用信息公示系统等网站主动</w:t>
      </w:r>
      <w:r>
        <w:rPr>
          <w:rFonts w:hint="eastAsia" w:ascii="仿宋" w:hAnsi="仿宋" w:eastAsia="仿宋" w:cs="Times New Roman"/>
          <w:kern w:val="2"/>
          <w:sz w:val="32"/>
          <w:szCs w:val="32"/>
          <w:shd w:val="clear" w:color="auto" w:fill="FFFFFF"/>
        </w:rPr>
        <w:t>公开各类信息</w:t>
      </w:r>
      <w:r>
        <w:rPr>
          <w:rFonts w:hint="eastAsia" w:ascii="仿宋" w:hAnsi="仿宋" w:eastAsia="仿宋" w:cs="Times New Roman"/>
          <w:color w:val="111F2C"/>
          <w:kern w:val="2"/>
          <w:sz w:val="32"/>
          <w:szCs w:val="32"/>
          <w:shd w:val="clear" w:color="auto" w:fill="FFFFFF"/>
        </w:rPr>
        <w:t>。</w:t>
      </w:r>
    </w:p>
    <w:p>
      <w:pPr>
        <w:ind w:firstLine="420"/>
        <w:rPr>
          <w:rFonts w:ascii="仿宋" w:hAnsi="仿宋" w:eastAsia="仿宋"/>
          <w:color w:val="111F2C"/>
          <w:sz w:val="32"/>
          <w:szCs w:val="32"/>
          <w:shd w:val="clear" w:color="auto" w:fill="FFFFFF"/>
        </w:rPr>
      </w:pPr>
      <w:r>
        <w:rPr>
          <w:rFonts w:hint="eastAsia" w:ascii="仿宋" w:hAnsi="仿宋" w:eastAsia="仿宋"/>
          <w:color w:val="111F2C"/>
          <w:sz w:val="32"/>
          <w:szCs w:val="32"/>
          <w:shd w:val="clear" w:color="auto" w:fill="FFFFFF"/>
        </w:rPr>
        <w:t>（二）依申请公开</w:t>
      </w:r>
    </w:p>
    <w:p>
      <w:pPr>
        <w:ind w:firstLine="420"/>
        <w:rPr>
          <w:rFonts w:ascii="仿宋" w:hAnsi="仿宋" w:eastAsia="仿宋"/>
          <w:color w:val="111F2C"/>
          <w:sz w:val="32"/>
          <w:szCs w:val="32"/>
          <w:shd w:val="clear" w:color="auto" w:fill="FFFFFF"/>
        </w:rPr>
      </w:pPr>
      <w:r>
        <w:rPr>
          <w:rFonts w:hint="eastAsia" w:ascii="仿宋" w:hAnsi="仿宋" w:eastAsia="仿宋"/>
          <w:color w:val="111F2C"/>
          <w:sz w:val="32"/>
          <w:szCs w:val="32"/>
          <w:shd w:val="clear" w:color="auto" w:fill="FFFFFF"/>
        </w:rPr>
        <w:t>本年度未收到政府信息公开申请。</w:t>
      </w:r>
    </w:p>
    <w:p>
      <w:pPr>
        <w:ind w:firstLine="420"/>
        <w:rPr>
          <w:rFonts w:ascii="仿宋" w:hAnsi="仿宋" w:eastAsia="仿宋"/>
          <w:color w:val="111F2C"/>
          <w:sz w:val="32"/>
          <w:szCs w:val="32"/>
          <w:shd w:val="clear" w:color="auto" w:fill="FFFFFF"/>
        </w:rPr>
      </w:pPr>
      <w:r>
        <w:rPr>
          <w:rFonts w:hint="eastAsia" w:ascii="仿宋" w:hAnsi="仿宋" w:eastAsia="仿宋"/>
          <w:color w:val="111F2C"/>
          <w:sz w:val="32"/>
          <w:szCs w:val="32"/>
          <w:shd w:val="clear" w:color="auto" w:fill="FFFFFF"/>
        </w:rPr>
        <w:t>（三）政府信息管理</w:t>
      </w:r>
    </w:p>
    <w:p>
      <w:pPr>
        <w:ind w:firstLine="420"/>
        <w:rPr>
          <w:rFonts w:ascii="仿宋" w:hAnsi="仿宋" w:eastAsia="仿宋"/>
          <w:color w:val="111F2C"/>
          <w:sz w:val="32"/>
          <w:szCs w:val="32"/>
          <w:shd w:val="clear" w:color="auto" w:fill="FFFFFF"/>
        </w:rPr>
      </w:pPr>
      <w:r>
        <w:rPr>
          <w:rFonts w:hint="eastAsia" w:ascii="仿宋" w:hAnsi="仿宋" w:eastAsia="仿宋"/>
          <w:color w:val="111F2C"/>
          <w:sz w:val="32"/>
          <w:szCs w:val="32"/>
          <w:shd w:val="clear" w:color="auto" w:fill="FFFFFF"/>
        </w:rPr>
        <w:t>为确保政府信息公开内容准确高效，高度重视信息审核与规范发布。一是强化审核，发布前，加强错别字、标点符号、政治因素、数据准确性等方面的审核，保证信息持续高质量发布。</w:t>
      </w:r>
    </w:p>
    <w:p>
      <w:pPr>
        <w:rPr>
          <w:rFonts w:ascii="仿宋" w:hAnsi="仿宋" w:eastAsia="仿宋"/>
          <w:color w:val="111F2C"/>
          <w:sz w:val="32"/>
          <w:szCs w:val="32"/>
          <w:shd w:val="clear" w:color="auto" w:fill="FFFFFF"/>
        </w:rPr>
      </w:pPr>
      <w:r>
        <w:rPr>
          <w:rFonts w:hint="eastAsia" w:ascii="仿宋" w:hAnsi="仿宋" w:eastAsia="仿宋"/>
          <w:color w:val="111F2C"/>
          <w:sz w:val="32"/>
          <w:szCs w:val="32"/>
          <w:shd w:val="clear" w:color="auto" w:fill="FFFFFF"/>
        </w:rPr>
        <w:t>二是规范信息撰写，制定各类信息统一格式模板及范例，便于具体操作以及提升公众浏览体验度。</w:t>
      </w:r>
    </w:p>
    <w:p>
      <w:pPr>
        <w:ind w:firstLine="640" w:firstLineChars="200"/>
        <w:rPr>
          <w:rFonts w:ascii="仿宋" w:hAnsi="仿宋" w:eastAsia="仿宋"/>
          <w:color w:val="111F2C"/>
          <w:sz w:val="32"/>
          <w:szCs w:val="32"/>
          <w:shd w:val="clear" w:color="auto" w:fill="FFFFFF"/>
        </w:rPr>
      </w:pPr>
      <w:r>
        <w:rPr>
          <w:rFonts w:hint="eastAsia" w:ascii="仿宋" w:hAnsi="仿宋" w:eastAsia="仿宋"/>
          <w:color w:val="111F2C"/>
          <w:sz w:val="32"/>
          <w:szCs w:val="32"/>
          <w:shd w:val="clear" w:color="auto" w:fill="FFFFFF"/>
        </w:rPr>
        <w:t>（四）平台建设</w:t>
      </w:r>
    </w:p>
    <w:p>
      <w:pPr>
        <w:pStyle w:val="2"/>
        <w:shd w:val="clear" w:color="auto" w:fill="FFFFFF"/>
        <w:spacing w:before="0" w:beforeAutospacing="0" w:after="50" w:afterAutospacing="0" w:line="275" w:lineRule="atLeast"/>
        <w:ind w:firstLine="640" w:firstLineChars="200"/>
        <w:rPr>
          <w:rFonts w:ascii="仿宋" w:hAnsi="仿宋" w:eastAsia="仿宋" w:cs="Times New Roman"/>
          <w:b w:val="0"/>
          <w:bCs w:val="0"/>
          <w:color w:val="111F2C"/>
          <w:kern w:val="2"/>
          <w:sz w:val="32"/>
          <w:szCs w:val="32"/>
          <w:shd w:val="clear" w:color="auto" w:fill="FFFFFF"/>
        </w:rPr>
      </w:pPr>
      <w:r>
        <w:rPr>
          <w:rFonts w:hint="eastAsia" w:ascii="仿宋" w:hAnsi="仿宋" w:eastAsia="仿宋" w:cs="Times New Roman"/>
          <w:b w:val="0"/>
          <w:bCs w:val="0"/>
          <w:color w:val="111F2C"/>
          <w:kern w:val="2"/>
          <w:sz w:val="32"/>
          <w:szCs w:val="32"/>
          <w:shd w:val="clear" w:color="auto" w:fill="FFFFFF"/>
        </w:rPr>
        <w:t>圆满完成区府办政府网站集约化建设任务，重新梳理并规范了政府信息公开指南、政府信息公开制度、法定主动公开内容、政府信息公开年报等内容，严格遵守“以公开为原则、以不公开为例外”的原则。同时，在门户网站上关联了</w:t>
      </w:r>
      <w:r>
        <w:fldChar w:fldCharType="begin"/>
      </w:r>
      <w:r>
        <w:instrText xml:space="preserve"> HYPERLINK "https://www.so.com/link?m=bMtkz1sotq88x7lcRrcI%2BMors%2FPdjg4%2BrBoEkf6MVlsk79Jd5caCp6KFZk3wy6tAD%2BNcKrStqDiE4JXc7Ps%2B93UcH7aPbuTKsSMzA%2FaUryEez0n8JqYaLMD0O0YH21K6Q22EfL0eewGVH4Mq0QZzcPDhM%2BUw%3D" \t "_blank" </w:instrText>
      </w:r>
      <w:r>
        <w:fldChar w:fldCharType="separate"/>
      </w:r>
      <w:r>
        <w:rPr>
          <w:rFonts w:ascii="仿宋" w:hAnsi="仿宋" w:eastAsia="仿宋" w:cs="Times New Roman"/>
          <w:b w:val="0"/>
          <w:bCs w:val="0"/>
          <w:color w:val="111F2C"/>
          <w:kern w:val="2"/>
          <w:sz w:val="32"/>
          <w:szCs w:val="32"/>
          <w:shd w:val="clear" w:color="auto" w:fill="FFFFFF"/>
        </w:rPr>
        <w:t>渝快办</w:t>
      </w:r>
      <w:r>
        <w:rPr>
          <w:rFonts w:ascii="仿宋" w:hAnsi="仿宋" w:eastAsia="仿宋" w:cs="Times New Roman"/>
          <w:b w:val="0"/>
          <w:bCs w:val="0"/>
          <w:color w:val="111F2C"/>
          <w:kern w:val="2"/>
          <w:sz w:val="32"/>
          <w:szCs w:val="32"/>
          <w:shd w:val="clear" w:color="auto" w:fill="FFFFFF"/>
        </w:rPr>
        <w:fldChar w:fldCharType="end"/>
      </w:r>
      <w:r>
        <w:rPr>
          <w:rFonts w:hint="eastAsia" w:ascii="仿宋" w:hAnsi="仿宋" w:eastAsia="仿宋" w:cs="Times New Roman"/>
          <w:b w:val="0"/>
          <w:bCs w:val="0"/>
          <w:color w:val="111F2C"/>
          <w:kern w:val="2"/>
          <w:sz w:val="32"/>
          <w:szCs w:val="32"/>
          <w:shd w:val="clear" w:color="auto" w:fill="FFFFFF"/>
        </w:rPr>
        <w:t>以及其他各类政府网站，方便公众查询使用。</w:t>
      </w:r>
    </w:p>
    <w:p>
      <w:pPr>
        <w:pStyle w:val="6"/>
        <w:spacing w:before="0" w:beforeAutospacing="0" w:after="0" w:afterAutospacing="0" w:line="420" w:lineRule="atLeast"/>
        <w:ind w:firstLine="480"/>
        <w:rPr>
          <w:rFonts w:ascii="仿宋" w:hAnsi="仿宋" w:eastAsia="仿宋" w:cs="Times New Roman"/>
          <w:color w:val="111F2C"/>
          <w:kern w:val="2"/>
          <w:sz w:val="32"/>
          <w:szCs w:val="32"/>
          <w:shd w:val="clear" w:color="auto" w:fill="FFFFFF"/>
        </w:rPr>
      </w:pPr>
      <w:r>
        <w:rPr>
          <w:rFonts w:hint="eastAsia" w:ascii="仿宋" w:hAnsi="仿宋" w:eastAsia="仿宋" w:cs="Times New Roman"/>
          <w:color w:val="111F2C"/>
          <w:kern w:val="2"/>
          <w:sz w:val="32"/>
          <w:szCs w:val="32"/>
          <w:shd w:val="clear" w:color="auto" w:fill="FFFFFF"/>
        </w:rPr>
        <w:t>（五）监督保障</w:t>
      </w:r>
    </w:p>
    <w:p>
      <w:pPr>
        <w:pStyle w:val="6"/>
        <w:spacing w:before="0" w:beforeAutospacing="0" w:after="0" w:afterAutospacing="0" w:line="420" w:lineRule="atLeast"/>
        <w:ind w:firstLine="640" w:firstLineChars="200"/>
        <w:rPr>
          <w:rFonts w:ascii="仿宋" w:hAnsi="仿宋" w:eastAsia="仿宋" w:cs="Times New Roman"/>
          <w:color w:val="111F2C"/>
          <w:kern w:val="2"/>
          <w:sz w:val="32"/>
          <w:szCs w:val="32"/>
          <w:shd w:val="clear" w:color="auto" w:fill="FFFFFF"/>
        </w:rPr>
      </w:pPr>
      <w:r>
        <w:rPr>
          <w:rFonts w:hint="eastAsia" w:ascii="仿宋" w:hAnsi="仿宋" w:eastAsia="仿宋" w:cs="Times New Roman"/>
          <w:color w:val="111F2C"/>
          <w:kern w:val="2"/>
          <w:sz w:val="32"/>
          <w:szCs w:val="32"/>
          <w:shd w:val="clear" w:color="auto" w:fill="FFFFFF"/>
        </w:rPr>
        <w:t>设立政府信息公开工作专门机构，从事政府信息公开工作人员3名，召开政府信息公开机构专题会议3次。认真参加市政府、区政府政府信息公开培训10人次。</w:t>
      </w:r>
    </w:p>
    <w:p>
      <w:pPr>
        <w:pStyle w:val="2"/>
        <w:shd w:val="clear" w:color="auto" w:fill="FFFFFF"/>
        <w:spacing w:before="0" w:beforeAutospacing="0" w:after="50" w:afterAutospacing="0" w:line="275" w:lineRule="atLeast"/>
        <w:ind w:firstLine="640" w:firstLineChars="200"/>
        <w:rPr>
          <w:rFonts w:ascii="仿宋" w:hAnsi="仿宋" w:eastAsia="仿宋" w:cs="Times New Roman"/>
          <w:b w:val="0"/>
          <w:bCs w:val="0"/>
          <w:color w:val="111F2C"/>
          <w:kern w:val="2"/>
          <w:sz w:val="32"/>
          <w:szCs w:val="32"/>
          <w:shd w:val="clear" w:color="auto" w:fill="FFFFFF"/>
        </w:rPr>
      </w:pPr>
    </w:p>
    <w:p>
      <w:pPr>
        <w:spacing w:line="560" w:lineRule="atLeast"/>
        <w:jc w:val="center"/>
        <w:rPr>
          <w:rFonts w:ascii="微软雅黑" w:hAnsi="微软雅黑" w:eastAsia="微软雅黑"/>
          <w:color w:val="111F2C"/>
          <w:sz w:val="32"/>
          <w:szCs w:val="32"/>
          <w:shd w:val="clear" w:color="auto" w:fill="FFFFFF"/>
        </w:rPr>
      </w:pPr>
      <w:r>
        <w:rPr>
          <w:rFonts w:hint="eastAsia" w:ascii="微软雅黑" w:hAnsi="微软雅黑" w:eastAsia="微软雅黑"/>
          <w:color w:val="111F2C"/>
          <w:sz w:val="32"/>
          <w:szCs w:val="32"/>
          <w:shd w:val="clear" w:color="auto" w:fill="FFFFFF"/>
        </w:rPr>
        <w:t xml:space="preserve">    二、主动公开政府信息情况</w:t>
      </w:r>
    </w:p>
    <w:tbl>
      <w:tblPr>
        <w:tblStyle w:val="7"/>
        <w:tblW w:w="8892"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2509"/>
        <w:gridCol w:w="1842"/>
        <w:gridCol w:w="2552"/>
        <w:gridCol w:w="198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8892" w:type="dxa"/>
            <w:gridSpan w:val="4"/>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第二十条第（一）项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信息内容</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本年新制作数量</w:t>
            </w:r>
          </w:p>
        </w:tc>
        <w:tc>
          <w:tcPr>
            <w:tcW w:w="255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本年新公开数量</w:t>
            </w:r>
          </w:p>
        </w:tc>
        <w:tc>
          <w:tcPr>
            <w:tcW w:w="198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对外公开总数量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规章</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c>
          <w:tcPr>
            <w:tcW w:w="255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c>
          <w:tcPr>
            <w:tcW w:w="198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规范性文件</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2552"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1989"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8892" w:type="dxa"/>
            <w:gridSpan w:val="4"/>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第二十条第（五）项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信息内容</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上一年项目数量</w:t>
            </w:r>
          </w:p>
        </w:tc>
        <w:tc>
          <w:tcPr>
            <w:tcW w:w="255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本年增/减</w:t>
            </w:r>
          </w:p>
        </w:tc>
        <w:tc>
          <w:tcPr>
            <w:tcW w:w="198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处理决定数量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行政许可</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21</w:t>
            </w:r>
          </w:p>
        </w:tc>
        <w:tc>
          <w:tcPr>
            <w:tcW w:w="2552"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1989"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562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其他对外管理服务事项</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46</w:t>
            </w:r>
          </w:p>
        </w:tc>
        <w:tc>
          <w:tcPr>
            <w:tcW w:w="255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c>
          <w:tcPr>
            <w:tcW w:w="1989" w:type="dxa"/>
            <w:tcMar>
              <w:left w:w="17" w:type="dxa"/>
              <w:right w:w="17" w:type="dxa"/>
            </w:tcMar>
            <w:vAlign w:val="center"/>
          </w:tcPr>
          <w:p>
            <w:pPr>
              <w:spacing w:line="30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8892" w:type="dxa"/>
            <w:gridSpan w:val="4"/>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第二十条第（六）项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信息内容</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上一年项目数量</w:t>
            </w:r>
          </w:p>
        </w:tc>
        <w:tc>
          <w:tcPr>
            <w:tcW w:w="255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本年增/减</w:t>
            </w:r>
          </w:p>
        </w:tc>
        <w:tc>
          <w:tcPr>
            <w:tcW w:w="198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处理决定数量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行政处罚</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817</w:t>
            </w:r>
          </w:p>
        </w:tc>
        <w:tc>
          <w:tcPr>
            <w:tcW w:w="2552"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1989"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226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行政强制</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30</w:t>
            </w:r>
          </w:p>
        </w:tc>
        <w:tc>
          <w:tcPr>
            <w:tcW w:w="2552"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198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8892" w:type="dxa"/>
            <w:gridSpan w:val="4"/>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第二十条第（八）项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信息内容</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上一年项目数量</w:t>
            </w:r>
          </w:p>
        </w:tc>
        <w:tc>
          <w:tcPr>
            <w:tcW w:w="4541" w:type="dxa"/>
            <w:gridSpan w:val="2"/>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本年增/减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行政事业性收费</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c>
          <w:tcPr>
            <w:tcW w:w="4541" w:type="dxa"/>
            <w:gridSpan w:val="2"/>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8892" w:type="dxa"/>
            <w:gridSpan w:val="4"/>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第二十条第（九）项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信息内容</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采购项目数量</w:t>
            </w:r>
          </w:p>
        </w:tc>
        <w:tc>
          <w:tcPr>
            <w:tcW w:w="4541" w:type="dxa"/>
            <w:gridSpan w:val="2"/>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采购总金额</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政府集中采购</w:t>
            </w:r>
          </w:p>
        </w:tc>
        <w:tc>
          <w:tcPr>
            <w:tcW w:w="1842"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4541" w:type="dxa"/>
            <w:gridSpan w:val="2"/>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r>
    </w:tbl>
    <w:p>
      <w:pPr>
        <w:wordWrap w:val="0"/>
        <w:spacing w:line="600" w:lineRule="exact"/>
        <w:jc w:val="left"/>
        <w:rPr>
          <w:rFonts w:ascii="微软雅黑" w:hAnsi="微软雅黑" w:eastAsia="微软雅黑"/>
          <w:color w:val="111F2C"/>
          <w:sz w:val="32"/>
          <w:szCs w:val="32"/>
        </w:rPr>
      </w:pPr>
      <w:r>
        <w:rPr>
          <w:rFonts w:hint="eastAsia" w:ascii="微软雅黑" w:hAnsi="微软雅黑" w:eastAsia="微软雅黑"/>
          <w:color w:val="111F2C"/>
          <w:sz w:val="32"/>
          <w:szCs w:val="32"/>
        </w:rPr>
        <w:br w:type="textWrapping"/>
      </w:r>
      <w:r>
        <w:rPr>
          <w:rFonts w:hint="eastAsia" w:ascii="微软雅黑" w:hAnsi="微软雅黑" w:eastAsia="微软雅黑"/>
          <w:color w:val="111F2C"/>
          <w:sz w:val="32"/>
          <w:szCs w:val="32"/>
          <w:shd w:val="clear" w:color="auto" w:fill="FFFFFF"/>
        </w:rPr>
        <w:t xml:space="preserve">    三、收到和处理政府信息公开申请情况</w:t>
      </w:r>
    </w:p>
    <w:tbl>
      <w:tblPr>
        <w:tblStyle w:val="7"/>
        <w:tblW w:w="8901"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507"/>
        <w:gridCol w:w="861"/>
        <w:gridCol w:w="3017"/>
        <w:gridCol w:w="625"/>
        <w:gridCol w:w="602"/>
        <w:gridCol w:w="588"/>
        <w:gridCol w:w="755"/>
        <w:gridCol w:w="756"/>
        <w:gridCol w:w="560"/>
        <w:gridCol w:w="63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blHeader/>
        </w:trPr>
        <w:tc>
          <w:tcPr>
            <w:tcW w:w="4385" w:type="dxa"/>
            <w:gridSpan w:val="3"/>
            <w:vMerge w:val="restart"/>
            <w:tcMar>
              <w:left w:w="17" w:type="dxa"/>
              <w:right w:w="17" w:type="dxa"/>
            </w:tcMar>
            <w:vAlign w:val="center"/>
          </w:tcPr>
          <w:p>
            <w:pPr>
              <w:spacing w:line="300" w:lineRule="exact"/>
              <w:jc w:val="center"/>
              <w:rPr>
                <w:rFonts w:hint="eastAsia" w:eastAsia="方正黑体_GBK"/>
                <w:spacing w:val="-4"/>
                <w:sz w:val="24"/>
                <w:szCs w:val="24"/>
              </w:rPr>
            </w:pPr>
            <w:r>
              <w:rPr>
                <w:rFonts w:hint="eastAsia" w:eastAsia="方正黑体_GBK"/>
                <w:spacing w:val="-4"/>
                <w:sz w:val="24"/>
                <w:szCs w:val="24"/>
              </w:rPr>
              <w:t>（本列数据的勾稽关系为：第一项加第二项之和，等于第三项加第四项之和）</w:t>
            </w:r>
          </w:p>
        </w:tc>
        <w:tc>
          <w:tcPr>
            <w:tcW w:w="4516" w:type="dxa"/>
            <w:gridSpan w:val="7"/>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申请人情况</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blHeader/>
        </w:trPr>
        <w:tc>
          <w:tcPr>
            <w:tcW w:w="4385" w:type="dxa"/>
            <w:gridSpan w:val="3"/>
            <w:vMerge w:val="continue"/>
            <w:tcMar>
              <w:left w:w="17" w:type="dxa"/>
              <w:right w:w="17" w:type="dxa"/>
            </w:tcMar>
            <w:vAlign w:val="center"/>
          </w:tcPr>
          <w:p>
            <w:pPr>
              <w:spacing w:line="300" w:lineRule="exact"/>
              <w:jc w:val="center"/>
              <w:rPr>
                <w:rFonts w:hint="eastAsia" w:eastAsia="方正黑体_GBK"/>
                <w:sz w:val="24"/>
                <w:szCs w:val="24"/>
              </w:rPr>
            </w:pPr>
          </w:p>
        </w:tc>
        <w:tc>
          <w:tcPr>
            <w:tcW w:w="625" w:type="dxa"/>
            <w:vMerge w:val="restart"/>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自然人</w:t>
            </w:r>
          </w:p>
        </w:tc>
        <w:tc>
          <w:tcPr>
            <w:tcW w:w="3261" w:type="dxa"/>
            <w:gridSpan w:val="5"/>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法人或其他组织</w:t>
            </w:r>
          </w:p>
        </w:tc>
        <w:tc>
          <w:tcPr>
            <w:tcW w:w="630" w:type="dxa"/>
            <w:vMerge w:val="restart"/>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总计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blHeader/>
        </w:trPr>
        <w:tc>
          <w:tcPr>
            <w:tcW w:w="4385" w:type="dxa"/>
            <w:gridSpan w:val="3"/>
            <w:vMerge w:val="continue"/>
            <w:tcMar>
              <w:left w:w="17" w:type="dxa"/>
              <w:right w:w="17" w:type="dxa"/>
            </w:tcMar>
            <w:vAlign w:val="center"/>
          </w:tcPr>
          <w:p>
            <w:pPr>
              <w:spacing w:line="300" w:lineRule="exact"/>
              <w:jc w:val="center"/>
              <w:rPr>
                <w:rFonts w:hint="eastAsia" w:eastAsia="方正黑体_GBK"/>
                <w:sz w:val="24"/>
                <w:szCs w:val="24"/>
              </w:rPr>
            </w:pPr>
          </w:p>
        </w:tc>
        <w:tc>
          <w:tcPr>
            <w:tcW w:w="625" w:type="dxa"/>
            <w:vMerge w:val="continue"/>
            <w:tcMar>
              <w:left w:w="17" w:type="dxa"/>
              <w:right w:w="17" w:type="dxa"/>
            </w:tcMar>
            <w:vAlign w:val="center"/>
          </w:tcPr>
          <w:p>
            <w:pPr>
              <w:spacing w:line="300" w:lineRule="exact"/>
              <w:jc w:val="center"/>
              <w:rPr>
                <w:rFonts w:hint="eastAsia" w:eastAsia="方正黑体_GBK"/>
                <w:sz w:val="24"/>
                <w:szCs w:val="24"/>
              </w:rPr>
            </w:pPr>
          </w:p>
        </w:tc>
        <w:tc>
          <w:tcPr>
            <w:tcW w:w="602"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商业企业</w:t>
            </w:r>
          </w:p>
        </w:tc>
        <w:tc>
          <w:tcPr>
            <w:tcW w:w="588"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科研机构</w:t>
            </w:r>
          </w:p>
        </w:tc>
        <w:tc>
          <w:tcPr>
            <w:tcW w:w="755"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社会公益组织</w:t>
            </w:r>
          </w:p>
        </w:tc>
        <w:tc>
          <w:tcPr>
            <w:tcW w:w="756"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法律服务机构</w:t>
            </w:r>
          </w:p>
        </w:tc>
        <w:tc>
          <w:tcPr>
            <w:tcW w:w="560"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其他</w:t>
            </w:r>
          </w:p>
        </w:tc>
        <w:tc>
          <w:tcPr>
            <w:tcW w:w="630" w:type="dxa"/>
            <w:vMerge w:val="continue"/>
            <w:tcMar>
              <w:left w:w="17" w:type="dxa"/>
              <w:right w:w="17" w:type="dxa"/>
            </w:tcMar>
            <w:vAlign w:val="center"/>
          </w:tcPr>
          <w:p>
            <w:pPr>
              <w:spacing w:line="300" w:lineRule="exact"/>
              <w:jc w:val="center"/>
              <w:rPr>
                <w:rFonts w:hint="eastAsia" w:eastAsia="方正黑体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4385" w:type="dxa"/>
            <w:gridSpan w:val="3"/>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一、本年新收政府信息公开申请数量</w:t>
            </w:r>
          </w:p>
        </w:tc>
        <w:tc>
          <w:tcPr>
            <w:tcW w:w="625"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c>
          <w:tcPr>
            <w:tcW w:w="602"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c>
          <w:tcPr>
            <w:tcW w:w="588"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c>
          <w:tcPr>
            <w:tcW w:w="755"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c>
          <w:tcPr>
            <w:tcW w:w="756"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c>
          <w:tcPr>
            <w:tcW w:w="560"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c>
          <w:tcPr>
            <w:tcW w:w="630" w:type="dxa"/>
            <w:tcMar>
              <w:left w:w="17" w:type="dxa"/>
              <w:right w:w="17" w:type="dxa"/>
            </w:tcMar>
            <w:vAlign w:val="center"/>
          </w:tcPr>
          <w:p>
            <w:pPr>
              <w:spacing w:line="300" w:lineRule="exact"/>
              <w:jc w:val="center"/>
              <w:rPr>
                <w:rFonts w:ascii="宋体" w:hAnsi="宋体" w:cs="宋体"/>
                <w:sz w:val="24"/>
                <w:szCs w:val="24"/>
              </w:rPr>
            </w:pPr>
            <w:r>
              <w:rPr>
                <w:rFonts w:hint="eastAsia" w:ascii="宋体" w:hAnsi="宋体" w:cs="宋体"/>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4385" w:type="dxa"/>
            <w:gridSpan w:val="3"/>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二、上年结转政府信息公开申请数量</w:t>
            </w:r>
          </w:p>
        </w:tc>
        <w:tc>
          <w:tcPr>
            <w:tcW w:w="625"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602"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588"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755"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756"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560"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c>
          <w:tcPr>
            <w:tcW w:w="630" w:type="dxa"/>
            <w:tcMar>
              <w:left w:w="17" w:type="dxa"/>
              <w:right w:w="17" w:type="dxa"/>
            </w:tcMar>
            <w:vAlign w:val="center"/>
          </w:tcPr>
          <w:p>
            <w:pPr>
              <w:spacing w:line="300" w:lineRule="exact"/>
              <w:jc w:val="center"/>
              <w:rPr>
                <w:rFonts w:ascii="宋体" w:hAnsi="宋体" w:cs="宋体"/>
                <w:sz w:val="24"/>
                <w:szCs w:val="24"/>
              </w:rPr>
            </w:pPr>
            <w:r>
              <w:rPr>
                <w:rFonts w:ascii="宋体" w:hAnsi="宋体" w:cs="宋体"/>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restart"/>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三、本年度办理结果</w:t>
            </w:r>
          </w:p>
        </w:tc>
        <w:tc>
          <w:tcPr>
            <w:tcW w:w="3878" w:type="dxa"/>
            <w:gridSpan w:val="2"/>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（一）予以公开</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878" w:type="dxa"/>
            <w:gridSpan w:val="2"/>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（二）部分公开（区分处理的，只计这一情形，不计其他情形）</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restart"/>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（三）不予公开</w:t>
            </w: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1.属于国家秘密</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pacing w:val="-6"/>
                <w:sz w:val="24"/>
                <w:szCs w:val="24"/>
              </w:rPr>
            </w:pPr>
            <w:r>
              <w:rPr>
                <w:rFonts w:hint="eastAsia" w:ascii="方正书宋_GBK" w:hAnsi="方正书宋_GBK" w:eastAsia="方正书宋_GBK" w:cs="方正书宋_GBK"/>
                <w:spacing w:val="-6"/>
                <w:sz w:val="24"/>
                <w:szCs w:val="24"/>
              </w:rPr>
              <w:t>2.其他法律行政法规禁止公开</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3.危及“三安全一稳定”</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4.保护第三方合法权益</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5.属于三类内部事务信息</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6.属于四类过程性信息</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7.属于行政执法案卷</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8.属于行政查询事项</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restart"/>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（四）无法提供</w:t>
            </w:r>
          </w:p>
        </w:tc>
        <w:tc>
          <w:tcPr>
            <w:tcW w:w="3017" w:type="dxa"/>
            <w:tcMar>
              <w:left w:w="17" w:type="dxa"/>
              <w:right w:w="17" w:type="dxa"/>
            </w:tcMar>
            <w:vAlign w:val="center"/>
          </w:tcPr>
          <w:p>
            <w:pPr>
              <w:spacing w:line="300" w:lineRule="exact"/>
              <w:rPr>
                <w:rFonts w:ascii="方正书宋_GBK" w:hAnsi="方正书宋_GBK" w:eastAsia="方正书宋_GBK" w:cs="方正书宋_GBK"/>
                <w:spacing w:val="-4"/>
                <w:sz w:val="24"/>
                <w:szCs w:val="24"/>
              </w:rPr>
            </w:pPr>
            <w:r>
              <w:rPr>
                <w:rFonts w:hint="eastAsia" w:ascii="方正书宋_GBK" w:hAnsi="方正书宋_GBK" w:eastAsia="方正书宋_GBK" w:cs="方正书宋_GBK"/>
                <w:spacing w:val="-4"/>
                <w:sz w:val="24"/>
                <w:szCs w:val="24"/>
              </w:rPr>
              <w:t>1.本机关不掌握相关政府信息</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pacing w:val="-4"/>
                <w:sz w:val="24"/>
                <w:szCs w:val="24"/>
              </w:rPr>
            </w:pPr>
            <w:r>
              <w:rPr>
                <w:rFonts w:hint="eastAsia" w:ascii="方正书宋_GBK" w:hAnsi="方正书宋_GBK" w:eastAsia="方正书宋_GBK" w:cs="方正书宋_GBK"/>
                <w:spacing w:val="-4"/>
                <w:sz w:val="24"/>
                <w:szCs w:val="24"/>
              </w:rPr>
              <w:t>2.没有现成信息需要另行制作</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3.补正后申请内容仍不明确</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restart"/>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（五）不予处理</w:t>
            </w: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1.信访举报投诉类申请</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2.重复申请</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3.要求提供公开出版物</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4.无正当理由大量反复申请</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861"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017" w:type="dxa"/>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5.要求行政机关确认或重新出具已获取信息</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878" w:type="dxa"/>
            <w:gridSpan w:val="2"/>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（六）其他处理</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300" w:lineRule="exact"/>
              <w:rPr>
                <w:rFonts w:ascii="方正书宋_GBK" w:hAnsi="方正书宋_GBK" w:eastAsia="方正书宋_GBK" w:cs="方正书宋_GBK"/>
                <w:sz w:val="24"/>
                <w:szCs w:val="24"/>
              </w:rPr>
            </w:pPr>
          </w:p>
        </w:tc>
        <w:tc>
          <w:tcPr>
            <w:tcW w:w="3878" w:type="dxa"/>
            <w:gridSpan w:val="2"/>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（七）总计</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4385" w:type="dxa"/>
            <w:gridSpan w:val="3"/>
            <w:tcMar>
              <w:left w:w="17" w:type="dxa"/>
              <w:right w:w="17" w:type="dxa"/>
            </w:tcMar>
            <w:vAlign w:val="center"/>
          </w:tcPr>
          <w:p>
            <w:pPr>
              <w:spacing w:line="300" w:lineRule="exact"/>
              <w:rPr>
                <w:rFonts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四、结转下年度继续办理</w:t>
            </w:r>
          </w:p>
        </w:tc>
        <w:tc>
          <w:tcPr>
            <w:tcW w:w="62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02"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88"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5"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756"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56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c>
          <w:tcPr>
            <w:tcW w:w="630" w:type="dxa"/>
            <w:tcMar>
              <w:left w:w="17" w:type="dxa"/>
              <w:right w:w="17" w:type="dxa"/>
            </w:tcMar>
            <w:vAlign w:val="center"/>
          </w:tcPr>
          <w:p>
            <w:pPr>
              <w:spacing w:line="300" w:lineRule="exact"/>
              <w:jc w:val="center"/>
              <w:rPr>
                <w:rFonts w:ascii="Times New Roman" w:hAnsi="Times New Roman"/>
                <w:sz w:val="24"/>
                <w:szCs w:val="24"/>
              </w:rPr>
            </w:pPr>
            <w:r>
              <w:rPr>
                <w:rFonts w:ascii="Times New Roman" w:hAnsi="Times New Roman"/>
                <w:sz w:val="24"/>
                <w:szCs w:val="24"/>
              </w:rPr>
              <w:t>0</w:t>
            </w:r>
          </w:p>
        </w:tc>
      </w:tr>
    </w:tbl>
    <w:p>
      <w:pPr>
        <w:spacing w:line="600" w:lineRule="exact"/>
        <w:jc w:val="left"/>
        <w:rPr>
          <w:rFonts w:ascii="微软雅黑" w:hAnsi="微软雅黑" w:eastAsia="微软雅黑"/>
          <w:color w:val="111F2C"/>
          <w:sz w:val="32"/>
          <w:szCs w:val="32"/>
          <w:shd w:val="clear" w:color="auto" w:fill="FFFFFF"/>
        </w:rPr>
      </w:pPr>
      <w:r>
        <w:rPr>
          <w:rFonts w:hint="eastAsia" w:ascii="微软雅黑" w:hAnsi="微软雅黑" w:eastAsia="微软雅黑"/>
          <w:color w:val="111F2C"/>
          <w:sz w:val="32"/>
          <w:szCs w:val="32"/>
        </w:rPr>
        <w:br w:type="textWrapping"/>
      </w:r>
      <w:r>
        <w:rPr>
          <w:rFonts w:hint="eastAsia" w:ascii="微软雅黑" w:hAnsi="微软雅黑" w:eastAsia="微软雅黑"/>
          <w:color w:val="111F2C"/>
          <w:sz w:val="32"/>
          <w:szCs w:val="32"/>
          <w:shd w:val="clear" w:color="auto" w:fill="FFFFFF"/>
        </w:rPr>
        <w:t xml:space="preserve">     四、政府信息公开行政复议、行政诉讼情况   </w:t>
      </w:r>
    </w:p>
    <w:tbl>
      <w:tblPr>
        <w:tblStyle w:val="7"/>
        <w:tblW w:w="8903"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560"/>
        <w:gridCol w:w="518"/>
        <w:gridCol w:w="546"/>
        <w:gridCol w:w="518"/>
        <w:gridCol w:w="574"/>
        <w:gridCol w:w="550"/>
        <w:gridCol w:w="605"/>
        <w:gridCol w:w="605"/>
        <w:gridCol w:w="605"/>
        <w:gridCol w:w="491"/>
        <w:gridCol w:w="605"/>
        <w:gridCol w:w="605"/>
        <w:gridCol w:w="605"/>
        <w:gridCol w:w="606"/>
        <w:gridCol w:w="91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2716" w:type="dxa"/>
            <w:gridSpan w:val="5"/>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行政复议</w:t>
            </w:r>
          </w:p>
        </w:tc>
        <w:tc>
          <w:tcPr>
            <w:tcW w:w="6187" w:type="dxa"/>
            <w:gridSpan w:val="10"/>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行    政    诉    讼</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560" w:type="dxa"/>
            <w:vMerge w:val="restart"/>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结果维持</w:t>
            </w:r>
          </w:p>
        </w:tc>
        <w:tc>
          <w:tcPr>
            <w:tcW w:w="518" w:type="dxa"/>
            <w:vMerge w:val="restart"/>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结果纠正</w:t>
            </w:r>
          </w:p>
        </w:tc>
        <w:tc>
          <w:tcPr>
            <w:tcW w:w="546" w:type="dxa"/>
            <w:vMerge w:val="restart"/>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其他结果</w:t>
            </w:r>
          </w:p>
        </w:tc>
        <w:tc>
          <w:tcPr>
            <w:tcW w:w="518" w:type="dxa"/>
            <w:vMerge w:val="restart"/>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尚未审结</w:t>
            </w:r>
          </w:p>
        </w:tc>
        <w:tc>
          <w:tcPr>
            <w:tcW w:w="574" w:type="dxa"/>
            <w:vMerge w:val="restart"/>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总计</w:t>
            </w:r>
          </w:p>
        </w:tc>
        <w:tc>
          <w:tcPr>
            <w:tcW w:w="2856" w:type="dxa"/>
            <w:gridSpan w:val="5"/>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未经复议直接起诉</w:t>
            </w:r>
          </w:p>
        </w:tc>
        <w:tc>
          <w:tcPr>
            <w:tcW w:w="3331" w:type="dxa"/>
            <w:gridSpan w:val="5"/>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复议后起诉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560" w:type="dxa"/>
            <w:vMerge w:val="continue"/>
            <w:tcMar>
              <w:left w:w="17" w:type="dxa"/>
              <w:right w:w="17" w:type="dxa"/>
            </w:tcMar>
            <w:vAlign w:val="center"/>
          </w:tcPr>
          <w:p>
            <w:pPr>
              <w:spacing w:line="300" w:lineRule="exact"/>
              <w:jc w:val="center"/>
              <w:rPr>
                <w:rFonts w:hint="eastAsia" w:eastAsia="方正黑体_GBK"/>
                <w:sz w:val="24"/>
                <w:szCs w:val="24"/>
              </w:rPr>
            </w:pPr>
          </w:p>
        </w:tc>
        <w:tc>
          <w:tcPr>
            <w:tcW w:w="518" w:type="dxa"/>
            <w:vMerge w:val="continue"/>
            <w:tcMar>
              <w:left w:w="17" w:type="dxa"/>
              <w:right w:w="17" w:type="dxa"/>
            </w:tcMar>
            <w:vAlign w:val="center"/>
          </w:tcPr>
          <w:p>
            <w:pPr>
              <w:spacing w:line="300" w:lineRule="exact"/>
              <w:jc w:val="center"/>
              <w:rPr>
                <w:rFonts w:hint="eastAsia" w:eastAsia="方正黑体_GBK"/>
                <w:sz w:val="24"/>
                <w:szCs w:val="24"/>
              </w:rPr>
            </w:pPr>
          </w:p>
        </w:tc>
        <w:tc>
          <w:tcPr>
            <w:tcW w:w="546" w:type="dxa"/>
            <w:vMerge w:val="continue"/>
            <w:tcMar>
              <w:left w:w="17" w:type="dxa"/>
              <w:right w:w="17" w:type="dxa"/>
            </w:tcMar>
            <w:vAlign w:val="center"/>
          </w:tcPr>
          <w:p>
            <w:pPr>
              <w:spacing w:line="300" w:lineRule="exact"/>
              <w:jc w:val="center"/>
              <w:rPr>
                <w:rFonts w:hint="eastAsia" w:eastAsia="方正黑体_GBK"/>
                <w:sz w:val="24"/>
                <w:szCs w:val="24"/>
              </w:rPr>
            </w:pPr>
          </w:p>
        </w:tc>
        <w:tc>
          <w:tcPr>
            <w:tcW w:w="518" w:type="dxa"/>
            <w:vMerge w:val="continue"/>
            <w:tcMar>
              <w:left w:w="17" w:type="dxa"/>
              <w:right w:w="17" w:type="dxa"/>
            </w:tcMar>
            <w:vAlign w:val="center"/>
          </w:tcPr>
          <w:p>
            <w:pPr>
              <w:spacing w:line="300" w:lineRule="exact"/>
              <w:jc w:val="center"/>
              <w:rPr>
                <w:rFonts w:hint="eastAsia" w:eastAsia="方正黑体_GBK"/>
                <w:sz w:val="24"/>
                <w:szCs w:val="24"/>
              </w:rPr>
            </w:pPr>
          </w:p>
        </w:tc>
        <w:tc>
          <w:tcPr>
            <w:tcW w:w="574" w:type="dxa"/>
            <w:vMerge w:val="continue"/>
            <w:tcMar>
              <w:left w:w="17" w:type="dxa"/>
              <w:right w:w="17" w:type="dxa"/>
            </w:tcMar>
            <w:vAlign w:val="center"/>
          </w:tcPr>
          <w:p>
            <w:pPr>
              <w:spacing w:line="300" w:lineRule="exact"/>
              <w:jc w:val="center"/>
              <w:rPr>
                <w:rFonts w:hint="eastAsia" w:eastAsia="方正黑体_GBK"/>
                <w:sz w:val="24"/>
                <w:szCs w:val="24"/>
              </w:rPr>
            </w:pPr>
          </w:p>
        </w:tc>
        <w:tc>
          <w:tcPr>
            <w:tcW w:w="550"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结果维持</w:t>
            </w:r>
          </w:p>
        </w:tc>
        <w:tc>
          <w:tcPr>
            <w:tcW w:w="605"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结果纠正</w:t>
            </w:r>
          </w:p>
        </w:tc>
        <w:tc>
          <w:tcPr>
            <w:tcW w:w="605"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其他结果</w:t>
            </w:r>
          </w:p>
        </w:tc>
        <w:tc>
          <w:tcPr>
            <w:tcW w:w="605"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尚未审结</w:t>
            </w:r>
          </w:p>
        </w:tc>
        <w:tc>
          <w:tcPr>
            <w:tcW w:w="491"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总计</w:t>
            </w:r>
          </w:p>
        </w:tc>
        <w:tc>
          <w:tcPr>
            <w:tcW w:w="605"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结果维持</w:t>
            </w:r>
          </w:p>
        </w:tc>
        <w:tc>
          <w:tcPr>
            <w:tcW w:w="605"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结果纠正</w:t>
            </w:r>
          </w:p>
        </w:tc>
        <w:tc>
          <w:tcPr>
            <w:tcW w:w="605"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其他结果</w:t>
            </w:r>
          </w:p>
        </w:tc>
        <w:tc>
          <w:tcPr>
            <w:tcW w:w="606"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尚未审结</w:t>
            </w:r>
          </w:p>
        </w:tc>
        <w:tc>
          <w:tcPr>
            <w:tcW w:w="910" w:type="dxa"/>
            <w:tcMar>
              <w:left w:w="17" w:type="dxa"/>
              <w:right w:w="17" w:type="dxa"/>
            </w:tcMar>
            <w:vAlign w:val="center"/>
          </w:tcPr>
          <w:p>
            <w:pPr>
              <w:spacing w:line="300" w:lineRule="exact"/>
              <w:jc w:val="center"/>
              <w:rPr>
                <w:rFonts w:hint="eastAsia" w:eastAsia="方正黑体_GBK"/>
                <w:sz w:val="24"/>
                <w:szCs w:val="24"/>
              </w:rPr>
            </w:pPr>
            <w:r>
              <w:rPr>
                <w:rFonts w:hint="eastAsia" w:eastAsia="方正黑体_GBK"/>
                <w:sz w:val="24"/>
                <w:szCs w:val="24"/>
              </w:rPr>
              <w:t>总计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560"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2</w:t>
            </w:r>
          </w:p>
        </w:tc>
        <w:tc>
          <w:tcPr>
            <w:tcW w:w="518"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0</w:t>
            </w:r>
          </w:p>
        </w:tc>
        <w:tc>
          <w:tcPr>
            <w:tcW w:w="546"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0</w:t>
            </w:r>
          </w:p>
        </w:tc>
        <w:tc>
          <w:tcPr>
            <w:tcW w:w="518"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0</w:t>
            </w:r>
          </w:p>
        </w:tc>
        <w:tc>
          <w:tcPr>
            <w:tcW w:w="574" w:type="dxa"/>
            <w:tcMar>
              <w:left w:w="17" w:type="dxa"/>
              <w:right w:w="17" w:type="dxa"/>
            </w:tcMar>
            <w:vAlign w:val="center"/>
          </w:tcPr>
          <w:p>
            <w:pPr>
              <w:spacing w:line="300" w:lineRule="exact"/>
              <w:jc w:val="center"/>
              <w:rPr>
                <w:rFonts w:hint="eastAsia" w:eastAsia="方正书宋_GBK"/>
                <w:sz w:val="24"/>
                <w:szCs w:val="24"/>
                <w:lang w:eastAsia="zh-CN"/>
              </w:rPr>
            </w:pPr>
            <w:r>
              <w:rPr>
                <w:rFonts w:hint="eastAsia" w:eastAsia="方正书宋_GBK"/>
                <w:sz w:val="24"/>
                <w:szCs w:val="24"/>
                <w:lang w:val="en-US" w:eastAsia="zh-CN"/>
              </w:rPr>
              <w:t>2</w:t>
            </w:r>
          </w:p>
        </w:tc>
        <w:tc>
          <w:tcPr>
            <w:tcW w:w="550"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0</w:t>
            </w:r>
          </w:p>
        </w:tc>
        <w:tc>
          <w:tcPr>
            <w:tcW w:w="605"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0</w:t>
            </w:r>
          </w:p>
        </w:tc>
        <w:tc>
          <w:tcPr>
            <w:tcW w:w="605"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1</w:t>
            </w:r>
          </w:p>
        </w:tc>
        <w:tc>
          <w:tcPr>
            <w:tcW w:w="605"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0</w:t>
            </w:r>
          </w:p>
        </w:tc>
        <w:tc>
          <w:tcPr>
            <w:tcW w:w="491" w:type="dxa"/>
            <w:tcMar>
              <w:left w:w="17" w:type="dxa"/>
              <w:right w:w="17" w:type="dxa"/>
            </w:tcMar>
            <w:vAlign w:val="center"/>
          </w:tcPr>
          <w:p>
            <w:pPr>
              <w:spacing w:line="300" w:lineRule="exact"/>
              <w:jc w:val="center"/>
              <w:rPr>
                <w:rFonts w:hint="eastAsia" w:eastAsia="方正书宋_GBK"/>
                <w:sz w:val="24"/>
                <w:szCs w:val="24"/>
                <w:lang w:eastAsia="zh-CN"/>
              </w:rPr>
            </w:pPr>
            <w:r>
              <w:rPr>
                <w:rFonts w:hint="eastAsia" w:eastAsia="方正书宋_GBK"/>
                <w:sz w:val="24"/>
                <w:szCs w:val="24"/>
                <w:lang w:val="en-US" w:eastAsia="zh-CN"/>
              </w:rPr>
              <w:t>1</w:t>
            </w:r>
          </w:p>
        </w:tc>
        <w:tc>
          <w:tcPr>
            <w:tcW w:w="605"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0</w:t>
            </w:r>
          </w:p>
        </w:tc>
        <w:tc>
          <w:tcPr>
            <w:tcW w:w="605"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0</w:t>
            </w:r>
          </w:p>
        </w:tc>
        <w:tc>
          <w:tcPr>
            <w:tcW w:w="605"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0</w:t>
            </w:r>
          </w:p>
        </w:tc>
        <w:tc>
          <w:tcPr>
            <w:tcW w:w="606" w:type="dxa"/>
            <w:tcMar>
              <w:left w:w="17" w:type="dxa"/>
              <w:right w:w="17" w:type="dxa"/>
            </w:tcMar>
            <w:vAlign w:val="center"/>
          </w:tcPr>
          <w:p>
            <w:pPr>
              <w:spacing w:line="300" w:lineRule="exact"/>
              <w:jc w:val="center"/>
              <w:rPr>
                <w:rFonts w:hint="eastAsia" w:eastAsia="方正书宋_GBK"/>
                <w:sz w:val="24"/>
                <w:szCs w:val="24"/>
              </w:rPr>
            </w:pPr>
            <w:r>
              <w:rPr>
                <w:rFonts w:hint="eastAsia" w:eastAsia="方正书宋_GBK"/>
                <w:sz w:val="24"/>
                <w:szCs w:val="24"/>
              </w:rPr>
              <w:t>0</w:t>
            </w:r>
          </w:p>
        </w:tc>
        <w:tc>
          <w:tcPr>
            <w:tcW w:w="910" w:type="dxa"/>
            <w:tcMar>
              <w:left w:w="17" w:type="dxa"/>
              <w:right w:w="17" w:type="dxa"/>
            </w:tcMar>
            <w:vAlign w:val="center"/>
          </w:tcPr>
          <w:p>
            <w:pPr>
              <w:spacing w:line="300" w:lineRule="exact"/>
              <w:jc w:val="center"/>
              <w:rPr>
                <w:rFonts w:hint="eastAsia" w:eastAsia="方正书宋_GBK"/>
                <w:sz w:val="24"/>
                <w:szCs w:val="24"/>
                <w:lang w:eastAsia="zh-CN"/>
              </w:rPr>
            </w:pPr>
            <w:r>
              <w:rPr>
                <w:rFonts w:hint="eastAsia" w:eastAsia="方正书宋_GBK"/>
                <w:sz w:val="24"/>
                <w:szCs w:val="24"/>
                <w:lang w:val="en-US" w:eastAsia="zh-CN"/>
              </w:rPr>
              <w:t>0</w:t>
            </w:r>
          </w:p>
        </w:tc>
      </w:tr>
    </w:tbl>
    <w:p>
      <w:pPr>
        <w:spacing w:line="600" w:lineRule="exact"/>
        <w:ind w:left="160" w:leftChars="76" w:firstLine="640" w:firstLineChars="200"/>
        <w:jc w:val="left"/>
        <w:rPr>
          <w:rFonts w:ascii="微软雅黑" w:hAnsi="微软雅黑" w:eastAsia="微软雅黑"/>
          <w:color w:val="111F2C"/>
          <w:sz w:val="32"/>
          <w:szCs w:val="32"/>
          <w:shd w:val="clear" w:color="auto" w:fill="FFFFFF"/>
        </w:rPr>
      </w:pPr>
      <w:r>
        <w:rPr>
          <w:rFonts w:hint="eastAsia" w:ascii="微软雅黑" w:hAnsi="微软雅黑" w:eastAsia="微软雅黑"/>
          <w:color w:val="111F2C"/>
          <w:sz w:val="32"/>
          <w:szCs w:val="32"/>
          <w:shd w:val="clear" w:color="auto" w:fill="FFFFFF"/>
        </w:rPr>
        <w:t>五、存在的主要问题及改进情况</w:t>
      </w:r>
    </w:p>
    <w:p>
      <w:pPr>
        <w:spacing w:line="360" w:lineRule="auto"/>
        <w:ind w:firstLine="640" w:firstLineChars="200"/>
        <w:jc w:val="left"/>
        <w:rPr>
          <w:rFonts w:ascii="仿宋" w:hAnsi="仿宋" w:eastAsia="仿宋"/>
          <w:color w:val="111F2C"/>
          <w:sz w:val="32"/>
          <w:szCs w:val="32"/>
          <w:shd w:val="clear" w:color="auto" w:fill="FFFFFF"/>
        </w:rPr>
      </w:pPr>
      <w:r>
        <w:rPr>
          <w:rFonts w:ascii="仿宋" w:hAnsi="仿宋" w:eastAsia="仿宋"/>
          <w:color w:val="111F2C"/>
          <w:sz w:val="32"/>
          <w:szCs w:val="32"/>
          <w:shd w:val="clear" w:color="auto" w:fill="FFFFFF"/>
        </w:rPr>
        <w:t>2020年，我局</w:t>
      </w:r>
      <w:r>
        <w:rPr>
          <w:rFonts w:hint="eastAsia" w:ascii="仿宋" w:hAnsi="仿宋" w:eastAsia="仿宋"/>
          <w:color w:val="111F2C"/>
          <w:sz w:val="32"/>
          <w:szCs w:val="32"/>
          <w:shd w:val="clear" w:color="auto" w:fill="FFFFFF"/>
        </w:rPr>
        <w:t>政府信息公开工作持续推进，取得良好效果</w:t>
      </w:r>
      <w:r>
        <w:rPr>
          <w:rFonts w:ascii="仿宋" w:hAnsi="仿宋" w:eastAsia="仿宋"/>
          <w:color w:val="111F2C"/>
          <w:sz w:val="32"/>
          <w:szCs w:val="32"/>
          <w:shd w:val="clear" w:color="auto" w:fill="FFFFFF"/>
        </w:rPr>
        <w:t>，但仍然存在</w:t>
      </w:r>
      <w:r>
        <w:rPr>
          <w:rFonts w:hint="eastAsia" w:ascii="仿宋" w:hAnsi="仿宋" w:eastAsia="仿宋"/>
          <w:color w:val="111F2C"/>
          <w:sz w:val="32"/>
          <w:szCs w:val="32"/>
          <w:shd w:val="clear" w:color="auto" w:fill="FFFFFF"/>
        </w:rPr>
        <w:t>问题：</w:t>
      </w:r>
      <w:r>
        <w:rPr>
          <w:rFonts w:ascii="仿宋" w:hAnsi="仿宋" w:eastAsia="仿宋"/>
          <w:color w:val="111F2C"/>
          <w:sz w:val="32"/>
          <w:szCs w:val="32"/>
          <w:shd w:val="clear" w:color="auto" w:fill="FFFFFF"/>
        </w:rPr>
        <w:t>内容</w:t>
      </w:r>
      <w:r>
        <w:rPr>
          <w:rFonts w:hint="eastAsia" w:ascii="仿宋" w:hAnsi="仿宋" w:eastAsia="仿宋"/>
          <w:color w:val="111F2C"/>
          <w:sz w:val="32"/>
          <w:szCs w:val="32"/>
          <w:shd w:val="clear" w:color="auto" w:fill="FFFFFF"/>
        </w:rPr>
        <w:t>公开渠道有限</w:t>
      </w:r>
      <w:r>
        <w:rPr>
          <w:rFonts w:ascii="仿宋" w:hAnsi="仿宋" w:eastAsia="仿宋"/>
          <w:color w:val="111F2C"/>
          <w:sz w:val="32"/>
          <w:szCs w:val="32"/>
          <w:shd w:val="clear" w:color="auto" w:fill="FFFFFF"/>
        </w:rPr>
        <w:t>，</w:t>
      </w:r>
      <w:r>
        <w:rPr>
          <w:rFonts w:hint="eastAsia" w:ascii="仿宋" w:hAnsi="仿宋" w:eastAsia="仿宋"/>
          <w:color w:val="111F2C"/>
          <w:sz w:val="32"/>
          <w:szCs w:val="32"/>
          <w:shd w:val="clear" w:color="auto" w:fill="FFFFFF"/>
        </w:rPr>
        <w:t>及时</w:t>
      </w:r>
      <w:r>
        <w:rPr>
          <w:rFonts w:ascii="仿宋" w:hAnsi="仿宋" w:eastAsia="仿宋"/>
          <w:color w:val="111F2C"/>
          <w:sz w:val="32"/>
          <w:szCs w:val="32"/>
          <w:shd w:val="clear" w:color="auto" w:fill="FFFFFF"/>
        </w:rPr>
        <w:t>性</w:t>
      </w:r>
      <w:r>
        <w:rPr>
          <w:rFonts w:hint="eastAsia" w:ascii="仿宋" w:hAnsi="仿宋" w:eastAsia="仿宋"/>
          <w:color w:val="111F2C"/>
          <w:sz w:val="32"/>
          <w:szCs w:val="32"/>
          <w:shd w:val="clear" w:color="auto" w:fill="FFFFFF"/>
        </w:rPr>
        <w:t>和实际效果方面</w:t>
      </w:r>
      <w:r>
        <w:rPr>
          <w:rFonts w:ascii="仿宋" w:hAnsi="仿宋" w:eastAsia="仿宋"/>
          <w:color w:val="111F2C"/>
          <w:sz w:val="32"/>
          <w:szCs w:val="32"/>
          <w:shd w:val="clear" w:color="auto" w:fill="FFFFFF"/>
        </w:rPr>
        <w:t>还有待提升。</w:t>
      </w:r>
    </w:p>
    <w:p>
      <w:pPr>
        <w:spacing w:line="360" w:lineRule="auto"/>
        <w:ind w:firstLine="640" w:firstLineChars="200"/>
        <w:jc w:val="left"/>
        <w:rPr>
          <w:rFonts w:ascii="仿宋" w:hAnsi="仿宋" w:eastAsia="仿宋"/>
          <w:color w:val="111F2C"/>
          <w:sz w:val="32"/>
          <w:szCs w:val="32"/>
          <w:shd w:val="clear" w:color="auto" w:fill="FFFFFF"/>
        </w:rPr>
      </w:pPr>
      <w:r>
        <w:rPr>
          <w:rFonts w:hint="eastAsia" w:ascii="仿宋" w:hAnsi="仿宋" w:eastAsia="仿宋"/>
          <w:color w:val="111F2C"/>
          <w:sz w:val="32"/>
          <w:szCs w:val="32"/>
          <w:shd w:val="clear" w:color="auto" w:fill="FFFFFF"/>
        </w:rPr>
        <w:t>针对以上问题，我局积极应对，采取以下措施解决：</w:t>
      </w:r>
    </w:p>
    <w:p>
      <w:pPr>
        <w:spacing w:line="360" w:lineRule="auto"/>
        <w:ind w:firstLine="640" w:firstLineChars="200"/>
        <w:jc w:val="left"/>
        <w:rPr>
          <w:rFonts w:ascii="仿宋" w:hAnsi="仿宋" w:eastAsia="仿宋"/>
          <w:color w:val="111F2C"/>
          <w:sz w:val="32"/>
          <w:szCs w:val="32"/>
          <w:shd w:val="clear" w:color="auto" w:fill="FFFFFF"/>
        </w:rPr>
      </w:pPr>
      <w:r>
        <w:rPr>
          <w:rFonts w:ascii="仿宋" w:hAnsi="仿宋" w:eastAsia="仿宋"/>
          <w:color w:val="111F2C"/>
          <w:sz w:val="32"/>
          <w:szCs w:val="32"/>
          <w:shd w:val="clear" w:color="auto" w:fill="FFFFFF"/>
        </w:rPr>
        <w:t>一是</w:t>
      </w:r>
      <w:r>
        <w:rPr>
          <w:rFonts w:hint="eastAsia" w:ascii="仿宋" w:hAnsi="仿宋" w:eastAsia="仿宋"/>
          <w:color w:val="111F2C"/>
          <w:sz w:val="32"/>
          <w:szCs w:val="32"/>
          <w:shd w:val="clear" w:color="auto" w:fill="FFFFFF"/>
        </w:rPr>
        <w:t>加强组织领导。指定专人负责，强化政府信息公开业务培训，并加强考核，月月通报工作情况。</w:t>
      </w:r>
    </w:p>
    <w:p>
      <w:pPr>
        <w:spacing w:line="360" w:lineRule="auto"/>
        <w:ind w:left="160" w:firstLine="640" w:firstLineChars="200"/>
        <w:jc w:val="left"/>
        <w:rPr>
          <w:rFonts w:ascii="仿宋" w:hAnsi="仿宋" w:eastAsia="仿宋"/>
          <w:color w:val="111F2C"/>
          <w:sz w:val="32"/>
          <w:szCs w:val="32"/>
          <w:shd w:val="clear" w:color="auto" w:fill="FFFFFF"/>
        </w:rPr>
      </w:pPr>
      <w:r>
        <w:rPr>
          <w:rFonts w:ascii="仿宋" w:hAnsi="仿宋" w:eastAsia="仿宋"/>
          <w:color w:val="111F2C"/>
          <w:sz w:val="32"/>
          <w:szCs w:val="32"/>
          <w:shd w:val="clear" w:color="auto" w:fill="FFFFFF"/>
        </w:rPr>
        <w:t>二是完善公开机制。</w:t>
      </w:r>
      <w:r>
        <w:rPr>
          <w:rFonts w:hint="eastAsia" w:ascii="仿宋" w:hAnsi="仿宋" w:eastAsia="仿宋"/>
          <w:color w:val="111F2C"/>
          <w:sz w:val="32"/>
          <w:szCs w:val="32"/>
          <w:shd w:val="clear" w:color="auto" w:fill="FFFFFF"/>
        </w:rPr>
        <w:t>层层把关，把每个环节的责任落实到人头，建立信息公开台账，确保内容真实有效，可以</w:t>
      </w:r>
      <w:r>
        <w:rPr>
          <w:rFonts w:ascii="仿宋" w:hAnsi="仿宋" w:eastAsia="仿宋"/>
          <w:color w:val="111F2C"/>
          <w:sz w:val="32"/>
          <w:szCs w:val="32"/>
          <w:shd w:val="clear" w:color="auto" w:fill="FFFFFF"/>
        </w:rPr>
        <w:t>溯源</w:t>
      </w:r>
      <w:r>
        <w:rPr>
          <w:rFonts w:hint="eastAsia" w:ascii="仿宋" w:hAnsi="仿宋" w:eastAsia="仿宋"/>
          <w:color w:val="111F2C"/>
          <w:sz w:val="32"/>
          <w:szCs w:val="32"/>
          <w:shd w:val="clear" w:color="auto" w:fill="FFFFFF"/>
        </w:rPr>
        <w:t>。</w:t>
      </w:r>
    </w:p>
    <w:p>
      <w:pPr>
        <w:spacing w:line="600" w:lineRule="exact"/>
        <w:ind w:left="160" w:leftChars="76" w:firstLine="640" w:firstLineChars="200"/>
        <w:jc w:val="left"/>
        <w:rPr>
          <w:rFonts w:hint="eastAsia" w:ascii="微软雅黑" w:hAnsi="微软雅黑" w:eastAsia="微软雅黑"/>
          <w:color w:val="111F2C"/>
          <w:sz w:val="32"/>
          <w:szCs w:val="32"/>
          <w:shd w:val="clear" w:color="auto" w:fill="FFFFFF"/>
        </w:rPr>
      </w:pPr>
      <w:r>
        <w:rPr>
          <w:rFonts w:hint="eastAsia" w:ascii="仿宋" w:hAnsi="仿宋" w:eastAsia="仿宋"/>
          <w:color w:val="111F2C"/>
          <w:sz w:val="32"/>
          <w:szCs w:val="32"/>
          <w:shd w:val="clear" w:color="auto" w:fill="FFFFFF"/>
        </w:rPr>
        <w:t>三是拓宽公开渠道。开设新媒体政务账号，研究学习政务新媒体运维技巧，广泛听取群众意见。</w:t>
      </w:r>
      <w:r>
        <w:rPr>
          <w:rFonts w:ascii="仿宋" w:hAnsi="仿宋" w:eastAsia="仿宋"/>
          <w:color w:val="111F2C"/>
          <w:sz w:val="32"/>
          <w:szCs w:val="32"/>
          <w:shd w:val="clear" w:color="auto" w:fill="FFFFFF"/>
        </w:rPr>
        <w:br w:type="textWrapping"/>
      </w:r>
      <w:r>
        <w:rPr>
          <w:rFonts w:hint="eastAsia" w:ascii="微软雅黑" w:hAnsi="微软雅黑" w:eastAsia="微软雅黑"/>
          <w:color w:val="111F2C"/>
          <w:sz w:val="32"/>
          <w:szCs w:val="32"/>
          <w:shd w:val="clear" w:color="auto" w:fill="FFFFFF"/>
        </w:rPr>
        <w:t xml:space="preserve">     六、其他需要报告的事项</w:t>
      </w:r>
    </w:p>
    <w:p>
      <w:pPr>
        <w:spacing w:line="600" w:lineRule="exact"/>
        <w:ind w:firstLine="960" w:firstLineChars="300"/>
        <w:jc w:val="left"/>
        <w:rPr>
          <w:rFonts w:hint="eastAsia" w:ascii="仿宋" w:hAnsi="仿宋" w:eastAsia="仿宋"/>
          <w:color w:val="111F2C"/>
          <w:sz w:val="32"/>
          <w:szCs w:val="32"/>
          <w:shd w:val="clear" w:color="auto" w:fill="FFFFFF"/>
        </w:rPr>
      </w:pPr>
      <w:r>
        <w:rPr>
          <w:rFonts w:hint="eastAsia" w:ascii="仿宋" w:hAnsi="仿宋" w:eastAsia="仿宋"/>
          <w:color w:val="111F2C"/>
          <w:sz w:val="32"/>
          <w:szCs w:val="32"/>
          <w:shd w:val="clear" w:color="auto" w:fill="FFFFFF"/>
        </w:rPr>
        <w:t>无。</w:t>
      </w:r>
    </w:p>
    <w:p>
      <w:pPr>
        <w:spacing w:line="600" w:lineRule="exact"/>
        <w:ind w:left="160" w:leftChars="76" w:firstLine="640" w:firstLineChars="200"/>
        <w:jc w:val="left"/>
        <w:rPr>
          <w:rFonts w:ascii="微软雅黑" w:hAnsi="微软雅黑" w:eastAsia="微软雅黑"/>
          <w:color w:val="111F2C"/>
          <w:sz w:val="32"/>
          <w:szCs w:val="32"/>
          <w:shd w:val="clear" w:color="auto" w:fill="FFFFFF"/>
        </w:rPr>
      </w:pPr>
    </w:p>
    <w:p>
      <w:pPr>
        <w:spacing w:line="360" w:lineRule="auto"/>
        <w:ind w:firstLine="640" w:firstLineChars="200"/>
        <w:jc w:val="left"/>
        <w:rPr>
          <w:rFonts w:ascii="仿宋" w:hAnsi="仿宋" w:eastAsia="仿宋"/>
          <w:color w:val="111F2C"/>
          <w:sz w:val="32"/>
          <w:szCs w:val="32"/>
          <w:shd w:val="clear" w:color="auto" w:fill="FFFFFF"/>
        </w:rPr>
      </w:pPr>
    </w:p>
    <w:p>
      <w:pPr>
        <w:spacing w:line="360" w:lineRule="auto"/>
        <w:ind w:left="160" w:leftChars="76"/>
        <w:jc w:val="right"/>
        <w:rPr>
          <w:rFonts w:hint="eastAsia" w:eastAsia="方正黑体_GBK"/>
          <w:sz w:val="24"/>
          <w:szCs w:val="24"/>
        </w:rPr>
      </w:pPr>
    </w:p>
    <w:p>
      <w:pPr>
        <w:spacing w:line="360" w:lineRule="auto"/>
        <w:ind w:firstLine="480"/>
        <w:jc w:val="right"/>
        <w:rPr>
          <w:rFonts w:ascii="仿宋" w:hAnsi="仿宋" w:eastAsia="仿宋"/>
          <w:color w:val="111F2C"/>
          <w:sz w:val="32"/>
          <w:szCs w:val="32"/>
          <w:shd w:val="clear" w:color="auto" w:fill="FFFFFF"/>
        </w:rPr>
      </w:pPr>
      <w:r>
        <w:rPr>
          <w:rFonts w:hint="eastAsia" w:ascii="仿宋" w:hAnsi="仿宋" w:eastAsia="仿宋"/>
          <w:color w:val="111F2C"/>
          <w:sz w:val="32"/>
          <w:szCs w:val="32"/>
          <w:shd w:val="clear" w:color="auto" w:fill="FFFFFF"/>
        </w:rPr>
        <w:t>重庆市大足区市场监督管理</w:t>
      </w:r>
    </w:p>
    <w:p>
      <w:pPr>
        <w:spacing w:line="360" w:lineRule="auto"/>
        <w:ind w:right="640" w:firstLine="480"/>
        <w:jc w:val="right"/>
        <w:rPr>
          <w:rFonts w:ascii="仿宋" w:hAnsi="仿宋" w:eastAsia="仿宋"/>
          <w:color w:val="111F2C"/>
          <w:sz w:val="32"/>
          <w:szCs w:val="32"/>
          <w:shd w:val="clear" w:color="auto" w:fill="FFFFFF"/>
        </w:rPr>
      </w:pPr>
      <w:r>
        <w:rPr>
          <w:rFonts w:hint="eastAsia" w:ascii="仿宋" w:hAnsi="仿宋" w:eastAsia="仿宋"/>
          <w:color w:val="111F2C"/>
          <w:sz w:val="32"/>
          <w:szCs w:val="32"/>
          <w:shd w:val="clear" w:color="auto" w:fill="FFFFFF"/>
        </w:rPr>
        <w:t>2020年1月19日</w:t>
      </w:r>
    </w:p>
    <w:p>
      <w:pPr>
        <w:spacing w:line="300" w:lineRule="exact"/>
        <w:ind w:firstLine="480"/>
        <w:jc w:val="right"/>
        <w:rPr>
          <w:rFonts w:ascii="仿宋" w:hAnsi="仿宋" w:eastAsia="仿宋"/>
          <w:color w:val="111F2C"/>
          <w:sz w:val="32"/>
          <w:szCs w:val="32"/>
          <w:shd w:val="clear" w:color="auto" w:fill="FFFFFF"/>
        </w:rPr>
      </w:pPr>
    </w:p>
    <w:p>
      <w:pPr>
        <w:spacing w:line="600" w:lineRule="exact"/>
        <w:jc w:val="left"/>
        <w:rPr>
          <w:rFonts w:hint="eastAsia"/>
          <w:sz w:val="32"/>
          <w:szCs w:val="32"/>
        </w:rPr>
      </w:pP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76EE"/>
    <w:rsid w:val="00110875"/>
    <w:rsid w:val="00120631"/>
    <w:rsid w:val="00141BA5"/>
    <w:rsid w:val="00174F5B"/>
    <w:rsid w:val="00195021"/>
    <w:rsid w:val="001C2E12"/>
    <w:rsid w:val="001C5047"/>
    <w:rsid w:val="001F460D"/>
    <w:rsid w:val="0024692F"/>
    <w:rsid w:val="00292B44"/>
    <w:rsid w:val="0029584B"/>
    <w:rsid w:val="002B5AF7"/>
    <w:rsid w:val="002F1730"/>
    <w:rsid w:val="00306C76"/>
    <w:rsid w:val="00320BDE"/>
    <w:rsid w:val="003408BD"/>
    <w:rsid w:val="00351BA2"/>
    <w:rsid w:val="00356114"/>
    <w:rsid w:val="00367294"/>
    <w:rsid w:val="00394E42"/>
    <w:rsid w:val="003A7C8E"/>
    <w:rsid w:val="003B1994"/>
    <w:rsid w:val="003C2C6F"/>
    <w:rsid w:val="003D0FD2"/>
    <w:rsid w:val="003D271A"/>
    <w:rsid w:val="003F0A6E"/>
    <w:rsid w:val="003F5858"/>
    <w:rsid w:val="004364C2"/>
    <w:rsid w:val="004523F0"/>
    <w:rsid w:val="004A76EE"/>
    <w:rsid w:val="004C2D15"/>
    <w:rsid w:val="004D7EB8"/>
    <w:rsid w:val="00505CD2"/>
    <w:rsid w:val="005130C9"/>
    <w:rsid w:val="00514AEF"/>
    <w:rsid w:val="00532172"/>
    <w:rsid w:val="00542367"/>
    <w:rsid w:val="00607044"/>
    <w:rsid w:val="006309C6"/>
    <w:rsid w:val="00682E5A"/>
    <w:rsid w:val="006D7D2A"/>
    <w:rsid w:val="00700DB2"/>
    <w:rsid w:val="00782AD4"/>
    <w:rsid w:val="007C32B0"/>
    <w:rsid w:val="008042D3"/>
    <w:rsid w:val="00860D88"/>
    <w:rsid w:val="008950D8"/>
    <w:rsid w:val="008D26DC"/>
    <w:rsid w:val="00921ECA"/>
    <w:rsid w:val="00971CDE"/>
    <w:rsid w:val="009A4981"/>
    <w:rsid w:val="009C3439"/>
    <w:rsid w:val="009F59F8"/>
    <w:rsid w:val="009F696D"/>
    <w:rsid w:val="00A00309"/>
    <w:rsid w:val="00AD7167"/>
    <w:rsid w:val="00BA5ED8"/>
    <w:rsid w:val="00BB1117"/>
    <w:rsid w:val="00BB2F03"/>
    <w:rsid w:val="00C13080"/>
    <w:rsid w:val="00C36D10"/>
    <w:rsid w:val="00CC35E7"/>
    <w:rsid w:val="00D34190"/>
    <w:rsid w:val="00D407D5"/>
    <w:rsid w:val="00D6348A"/>
    <w:rsid w:val="00DB390D"/>
    <w:rsid w:val="00DB598F"/>
    <w:rsid w:val="00DE0246"/>
    <w:rsid w:val="00E022F3"/>
    <w:rsid w:val="00E174AD"/>
    <w:rsid w:val="00E202A6"/>
    <w:rsid w:val="00F25445"/>
    <w:rsid w:val="00F453A4"/>
    <w:rsid w:val="00F81F2E"/>
    <w:rsid w:val="00FD03C0"/>
    <w:rsid w:val="00FD089D"/>
    <w:rsid w:val="00FE4821"/>
    <w:rsid w:val="00FE7CB9"/>
    <w:rsid w:val="208C3D4F"/>
    <w:rsid w:val="4C29093D"/>
    <w:rsid w:val="53793DB2"/>
    <w:rsid w:val="5646237F"/>
    <w:rsid w:val="5ABC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uiPriority w:val="99"/>
    <w:pPr>
      <w:ind w:left="100" w:leftChars="250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semiHidden/>
    <w:unhideWhenUsed/>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3"/>
    <w:semiHidden/>
    <w:qFormat/>
    <w:uiPriority w:val="99"/>
  </w:style>
  <w:style w:type="character" w:customStyle="1" w:styleId="13">
    <w:name w:val="标题 3 Char"/>
    <w:basedOn w:val="8"/>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371</Words>
  <Characters>2118</Characters>
  <Lines>17</Lines>
  <Paragraphs>4</Paragraphs>
  <TotalTime>27</TotalTime>
  <ScaleCrop>false</ScaleCrop>
  <LinksUpToDate>false</LinksUpToDate>
  <CharactersWithSpaces>2485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2021-01-31T13:29:00Z</dcterms:created>
  <dc:creator>吴端节</dc:creator>
  <cp:lastModifiedBy>三少</cp:lastModifiedBy>
  <cp:lastPrinted>2021-01-25T06:48:00Z</cp:lastPrinted>
  <dcterms:modified xsi:type="dcterms:W3CDTF">2021-02-01T09:47:07Z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