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黑体_GBK" w:eastAsia="方正小标宋_GBK" w:cs="方正黑体_GBK"/>
          <w:sz w:val="44"/>
          <w:szCs w:val="44"/>
          <w:lang w:eastAsia="zh-CN"/>
        </w:rPr>
      </w:pPr>
      <w:r>
        <w:rPr>
          <w:rFonts w:hint="eastAsia" w:ascii="方正小标宋_GBK" w:hAnsi="方正黑体_GBK" w:eastAsia="方正小标宋_GBK" w:cs="方正黑体_GBK"/>
          <w:sz w:val="44"/>
          <w:szCs w:val="44"/>
          <w:lang w:eastAsia="zh-CN"/>
        </w:rPr>
        <w:t>重庆市江北区市场监督管理局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0" w:firstLineChars="0"/>
        <w:jc w:val="center"/>
        <w:textAlignment w:val="auto"/>
        <w:outlineLvl w:val="9"/>
        <w:rPr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20</w:t>
      </w:r>
      <w:r>
        <w:rPr>
          <w:rFonts w:hint="eastAsia" w:hAnsi="Times New Roman" w:eastAsia="方正小标宋_GBK" w:cs="Times New Roman"/>
          <w:sz w:val="44"/>
          <w:szCs w:val="44"/>
          <w:lang w:val="en-US" w:eastAsia="zh-CN"/>
        </w:rPr>
        <w:t>20</w:t>
      </w:r>
      <w:r>
        <w:rPr>
          <w:rFonts w:hint="eastAsia" w:ascii="方正小标宋_GBK" w:hAnsi="方正黑体_GBK" w:eastAsia="方正小标宋_GBK" w:cs="方正黑体_GBK"/>
          <w:sz w:val="44"/>
          <w:szCs w:val="44"/>
          <w:lang w:val="en-US" w:eastAsia="zh-CN"/>
        </w:rPr>
        <w:t>年度</w:t>
      </w:r>
      <w:r>
        <w:rPr>
          <w:rFonts w:hint="eastAsia" w:ascii="方正小标宋_GBK" w:hAnsi="方正黑体_GBK" w:eastAsia="方正小标宋_GBK" w:cs="方正黑体_GBK"/>
          <w:sz w:val="44"/>
          <w:szCs w:val="44"/>
        </w:rPr>
        <w:t>政府信息公开工作报告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黑体_GBK" w:eastAsia="方正黑体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</w:t>
      </w:r>
      <w:r>
        <w:rPr>
          <w:rFonts w:hint="eastAsia" w:hAnsi="Times New Roman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年，江北区市场监督管理局在市局、区委区政府领导下，遵循公正、公平、合法、便民的原则，严格按照《政府信息公开条例》等法规制度要求，积极推进重点领域信息公开，不断提升工作透明度和公信力。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hAnsi="Times New Roman" w:cs="Times New Roman"/>
          <w:sz w:val="32"/>
          <w:szCs w:val="32"/>
          <w:lang w:val="en-US" w:eastAsia="zh-CN"/>
        </w:rPr>
        <w:t>2020年，重庆市江北区市场监督管理局根据新修订的《中华人民共和国政府信息公开条例》，认真落实政府信息公开工作要求。一是加强主动公开，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全年在区政府网站主动公开政府信息</w:t>
      </w:r>
      <w:r>
        <w:rPr>
          <w:rFonts w:hint="eastAsia" w:hAnsi="Times New Roman" w:cs="Times New Roman"/>
          <w:sz w:val="32"/>
          <w:szCs w:val="32"/>
          <w:lang w:val="en-US" w:eastAsia="zh-CN"/>
        </w:rPr>
        <w:t>54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条，主要包括机构职能、办事指南、工作动态、通知公告</w:t>
      </w:r>
      <w:r>
        <w:rPr>
          <w:rFonts w:hint="eastAsia" w:hAnsi="Times New Roman" w:cs="Times New Roman"/>
          <w:sz w:val="32"/>
          <w:szCs w:val="32"/>
          <w:lang w:val="en-US" w:eastAsia="zh-CN"/>
        </w:rPr>
        <w:t>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；</w:t>
      </w:r>
      <w:r>
        <w:rPr>
          <w:rFonts w:hint="eastAsia" w:hAnsi="Times New Roman" w:cs="Times New Roman"/>
          <w:sz w:val="32"/>
          <w:szCs w:val="32"/>
          <w:lang w:val="en-US" w:eastAsia="zh-CN"/>
        </w:rPr>
        <w:t>二是做好依申请公开回复，全年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受理政府信息公开申请1</w:t>
      </w:r>
      <w:r>
        <w:rPr>
          <w:rFonts w:hint="eastAsia" w:hAnsi="Times New Roman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件，主要包括企业信息查询、处罚决定书公开等内容，全部申请均依法按时答复</w:t>
      </w:r>
      <w:r>
        <w:rPr>
          <w:rFonts w:hint="eastAsia" w:hAnsi="Times New Roman" w:cs="Times New Roman"/>
          <w:sz w:val="32"/>
          <w:szCs w:val="32"/>
          <w:lang w:val="en-US" w:eastAsia="zh-CN"/>
        </w:rPr>
        <w:t>；三是加强政府信息管理，建立健全信息发布审批制度和信息公开保密审查制度等工作机制，坚持依法依规做好信息公开工作；四是加强信息公开平台建设，在区政府网站公开的各类信息做到及时准确、主动回应；五是强化监督保障，对涉及食品药品安全等社会关注度高的重要信息，坚持第一时间处置、第一时间发布，同时全面公开投诉举报联系方式，保障人民群众知情权、参与权和监督权。</w:t>
      </w:r>
    </w:p>
    <w:p>
      <w:pPr>
        <w:ind w:firstLine="640" w:firstLineChars="200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二、主动公开政府信息情况</w:t>
      </w:r>
    </w:p>
    <w:tbl>
      <w:tblPr>
        <w:tblStyle w:val="6"/>
        <w:tblW w:w="81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lang w:bidi="ar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lang w:bidi="ar"/>
              </w:rPr>
              <w:t>本年新</w:t>
            </w:r>
            <w:r>
              <w:rPr>
                <w:rFonts w:hint="eastAsia" w:ascii="方正仿宋_GBK" w:eastAsia="方正仿宋_GBK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方正仿宋_GBK" w:eastAsia="方正仿宋_GBK"/>
                <w:kern w:val="0"/>
                <w:sz w:val="20"/>
                <w:lang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lang w:bidi="ar"/>
              </w:rPr>
              <w:t>本年新</w:t>
            </w:r>
            <w:r>
              <w:rPr>
                <w:rFonts w:hint="eastAsia" w:ascii="方正仿宋_GBK" w:eastAsia="方正仿宋_GBK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方正仿宋_GBK" w:eastAsia="方正仿宋_GBK"/>
                <w:kern w:val="0"/>
                <w:sz w:val="20"/>
                <w:lang w:bidi="ar"/>
              </w:rPr>
              <w:t>公开数量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lang w:bidi="ar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lang w:bidi="ar"/>
              </w:rPr>
              <w:t>规章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lang w:bidi="ar"/>
              </w:rPr>
              <w:t>　　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 w:cs="宋体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ascii="方正仿宋_GBK" w:eastAsia="方正仿宋_GBK" w:cs="宋体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lang w:bidi="ar"/>
              </w:rPr>
              <w:t>　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lang w:bidi="ar"/>
              </w:rPr>
              <w:t>规范性文件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lang w:bidi="ar"/>
              </w:rPr>
              <w:t>　　</w:t>
            </w:r>
            <w:r>
              <w:rPr>
                <w:rFonts w:hint="eastAsia" w:ascii="方正仿宋_GBK" w:hAnsi="宋体" w:cs="宋体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eastAsia="方正仿宋_GBK" w:cs="宋体"/>
                <w:color w:val="000000"/>
                <w:kern w:val="0"/>
                <w:sz w:val="20"/>
                <w:lang w:bidi="ar"/>
              </w:rPr>
              <w:t> </w:t>
            </w:r>
            <w:r>
              <w:rPr>
                <w:rFonts w:hint="eastAsia" w:ascii="方正仿宋_GBK" w:cs="宋体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lang w:bidi="ar"/>
              </w:rPr>
              <w:t>　</w:t>
            </w:r>
            <w:r>
              <w:rPr>
                <w:rFonts w:hint="eastAsia" w:ascii="方正仿宋_GBK" w:hAnsi="宋体" w:cs="宋体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lang w:bidi="ar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lang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lang w:bidi="ar"/>
              </w:rPr>
              <w:t>本年增/减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lang w:bidi="ar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cs="宋体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0"/>
                <w:lang w:val="en-US" w:eastAsia="zh-CN" w:bidi="ar"/>
              </w:rPr>
              <w:t>39298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lang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cs="宋体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0"/>
                <w:lang w:val="en-US" w:eastAsia="zh-CN" w:bidi="ar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lang w:bidi="ar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lang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lang w:bidi="ar"/>
              </w:rPr>
              <w:t>本年增/减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lang w:bidi="ar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lang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cs="宋体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737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hAnsi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0"/>
                <w:lang w:val="en-US" w:eastAsia="zh-CN" w:bidi="ar"/>
              </w:rPr>
              <w:t>399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lang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宋体" w:cs="宋体"/>
                <w:color w:val="000000" w:themeColor="text1"/>
                <w:kern w:val="0"/>
                <w:sz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hAnsi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lang w:bidi="ar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lang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lang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lang w:bidi="ar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lang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lang w:bidi="ar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lang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lang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lang w:bidi="ar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lang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0"/>
                <w:lang w:val="en-US" w:eastAsia="zh-CN" w:bidi="ar"/>
              </w:rPr>
              <w:t>3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0"/>
                <w:lang w:val="en-US" w:eastAsia="zh-CN" w:bidi="ar"/>
              </w:rPr>
              <w:t>209.1998万元</w:t>
            </w:r>
          </w:p>
        </w:tc>
      </w:tr>
    </w:tbl>
    <w:p>
      <w:pPr>
        <w:ind w:firstLine="640" w:firstLineChars="200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三、收到和处理政府信息公开申请情况</w:t>
      </w:r>
    </w:p>
    <w:tbl>
      <w:tblPr>
        <w:tblStyle w:val="6"/>
        <w:tblW w:w="9071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55"/>
        <w:gridCol w:w="2130"/>
        <w:gridCol w:w="825"/>
        <w:gridCol w:w="765"/>
        <w:gridCol w:w="765"/>
        <w:gridCol w:w="825"/>
        <w:gridCol w:w="990"/>
        <w:gridCol w:w="720"/>
        <w:gridCol w:w="57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54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lang w:bidi="ar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lang w:bidi="ar"/>
              </w:rPr>
              <w:t>法人或其他组织</w:t>
            </w:r>
          </w:p>
        </w:tc>
        <w:tc>
          <w:tcPr>
            <w:tcW w:w="5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lang w:bidi="ar"/>
              </w:rPr>
              <w:t>商业企业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lang w:bidi="ar"/>
              </w:rPr>
              <w:t>科研机构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lang w:bidi="ar"/>
              </w:rPr>
              <w:t>社会公益组织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lang w:bidi="ar"/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lang w:bidi="ar"/>
              </w:rPr>
              <w:t>其他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lang w:bidi="ar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eastAsia="方正仿宋_GBK" w:cs="Calibri"/>
                <w:kern w:val="0"/>
                <w:sz w:val="20"/>
                <w:lang w:val="en-US" w:eastAsia="zh-CN" w:bidi="ar"/>
              </w:rPr>
              <w:t>1</w:t>
            </w: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eastAsia="方正仿宋_GBK" w:cs="Calibri"/>
                <w:kern w:val="0"/>
                <w:sz w:val="20"/>
                <w:lang w:val="en-US" w:eastAsia="zh-CN" w:bidi="ar"/>
              </w:rPr>
              <w:t>1</w:t>
            </w: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2</w:t>
            </w: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lang w:bidi="ar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eastAsia="方正仿宋_GBK" w:cs="Calibri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eastAsia="方正仿宋_GBK" w:cs="Calibri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lang w:bidi="ar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hAnsi="楷体" w:eastAsia="方正仿宋_GBK" w:cs="楷体"/>
                <w:kern w:val="0"/>
                <w:sz w:val="20"/>
                <w:lang w:bidi="ar"/>
              </w:rPr>
              <w:t>（一）予以公开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eastAsia="方正仿宋_GBK" w:cs="Calibri"/>
                <w:kern w:val="0"/>
                <w:sz w:val="20"/>
                <w:lang w:val="en-US" w:eastAsia="zh-CN" w:bidi="ar"/>
              </w:rPr>
              <w:t>1</w:t>
            </w: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eastAsia="方正仿宋_GBK" w:cs="Calibri"/>
                <w:kern w:val="0"/>
                <w:sz w:val="20"/>
                <w:lang w:val="en-US" w:eastAsia="zh-CN" w:bidi="ar"/>
              </w:rPr>
              <w:t>1</w:t>
            </w: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hAnsi="楷体" w:eastAsia="方正仿宋_GBK" w:cs="楷体"/>
                <w:kern w:val="0"/>
                <w:sz w:val="20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hAnsi="楷体" w:eastAsia="方正仿宋_GBK" w:cs="楷体"/>
                <w:kern w:val="0"/>
                <w:sz w:val="20"/>
                <w:lang w:bidi="ar"/>
              </w:rPr>
              <w:t>（三）不予公开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hAnsi="楷体" w:eastAsia="方正仿宋_GBK" w:cs="楷体"/>
                <w:kern w:val="0"/>
                <w:sz w:val="20"/>
                <w:lang w:bidi="ar"/>
              </w:rPr>
              <w:t>1.属于国家秘密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hAnsi="楷体" w:eastAsia="方正仿宋_GBK" w:cs="楷体"/>
                <w:kern w:val="0"/>
                <w:sz w:val="20"/>
                <w:lang w:bidi="ar"/>
              </w:rPr>
              <w:t>2.其他法律行政法规禁止公开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hAnsi="楷体" w:eastAsia="方正仿宋_GBK" w:cs="楷体"/>
                <w:kern w:val="0"/>
                <w:sz w:val="20"/>
                <w:lang w:bidi="ar"/>
              </w:rPr>
              <w:t>3.危及“三安全一稳定”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hAnsi="楷体" w:eastAsia="方正仿宋_GBK" w:cs="楷体"/>
                <w:kern w:val="0"/>
                <w:sz w:val="20"/>
                <w:lang w:bidi="ar"/>
              </w:rPr>
              <w:t>4.保护第三方合法权益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hAnsi="楷体" w:eastAsia="方正仿宋_GBK" w:cs="楷体"/>
                <w:kern w:val="0"/>
                <w:sz w:val="20"/>
                <w:lang w:bidi="ar"/>
              </w:rPr>
              <w:t>5.属于三类内部事务信息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hAnsi="楷体" w:eastAsia="方正仿宋_GBK" w:cs="楷体"/>
                <w:kern w:val="0"/>
                <w:sz w:val="20"/>
                <w:lang w:bidi="ar"/>
              </w:rPr>
              <w:t>6.属于四类过程性信息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hAnsi="楷体" w:eastAsia="方正仿宋_GBK" w:cs="楷体"/>
                <w:kern w:val="0"/>
                <w:sz w:val="20"/>
                <w:lang w:bidi="ar"/>
              </w:rPr>
              <w:t>7.属于行政执法案卷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hAnsi="楷体" w:eastAsia="方正仿宋_GBK" w:cs="楷体"/>
                <w:kern w:val="0"/>
                <w:sz w:val="20"/>
                <w:lang w:bidi="ar"/>
              </w:rPr>
              <w:t>8.属于行政查询事项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hAnsi="楷体" w:eastAsia="方正仿宋_GBK" w:cs="楷体"/>
                <w:kern w:val="0"/>
                <w:sz w:val="20"/>
                <w:lang w:bidi="ar"/>
              </w:rPr>
              <w:t>（四）无法提供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hAnsi="楷体" w:eastAsia="方正仿宋_GBK" w:cs="楷体"/>
                <w:kern w:val="0"/>
                <w:sz w:val="20"/>
                <w:lang w:bidi="ar"/>
              </w:rPr>
              <w:t>1.本机关不掌握相关政府信息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hAnsi="楷体" w:eastAsia="方正仿宋_GBK" w:cs="楷体"/>
                <w:kern w:val="0"/>
                <w:sz w:val="20"/>
                <w:lang w:bidi="ar"/>
              </w:rPr>
              <w:t>2.没有现成信息需要另行制作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hAnsi="楷体" w:eastAsia="方正仿宋_GBK" w:cs="楷体"/>
                <w:kern w:val="0"/>
                <w:sz w:val="20"/>
                <w:lang w:bidi="ar"/>
              </w:rPr>
              <w:t>3.补正后申请内容仍不明确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hAnsi="楷体" w:eastAsia="方正仿宋_GBK" w:cs="楷体"/>
                <w:kern w:val="0"/>
                <w:sz w:val="20"/>
                <w:lang w:bidi="ar"/>
              </w:rPr>
              <w:t>（五）不予处理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hAnsi="楷体" w:eastAsia="方正仿宋_GBK" w:cs="楷体"/>
                <w:kern w:val="0"/>
                <w:sz w:val="20"/>
                <w:lang w:bidi="ar"/>
              </w:rPr>
              <w:t>1.信访举报投诉类申请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hAnsi="楷体" w:eastAsia="方正仿宋_GBK" w:cs="楷体"/>
                <w:kern w:val="0"/>
                <w:sz w:val="20"/>
                <w:lang w:bidi="ar"/>
              </w:rPr>
              <w:t>2.重复申请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hAnsi="楷体" w:eastAsia="方正仿宋_GBK" w:cs="楷体"/>
                <w:kern w:val="0"/>
                <w:sz w:val="20"/>
                <w:lang w:bidi="ar"/>
              </w:rPr>
              <w:t>3.要求提供公开出版物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hAnsi="楷体" w:eastAsia="方正仿宋_GBK" w:cs="楷体"/>
                <w:kern w:val="0"/>
                <w:sz w:val="20"/>
                <w:lang w:bidi="ar"/>
              </w:rPr>
              <w:t>4.无正当理由大量反复申请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hAnsi="楷体" w:eastAsia="方正仿宋_GBK" w:cs="楷体"/>
                <w:kern w:val="0"/>
                <w:sz w:val="20"/>
                <w:lang w:bidi="ar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hAnsi="楷体" w:eastAsia="方正仿宋_GBK" w:cs="楷体"/>
                <w:kern w:val="0"/>
                <w:sz w:val="20"/>
                <w:lang w:bidi="ar"/>
              </w:rPr>
              <w:t>（六）其他处理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eastAsia="方正仿宋_GBK" w:cs="Calibri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eastAsia="方正仿宋_GBK" w:cs="Calibri"/>
                <w:kern w:val="0"/>
                <w:sz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hAnsi="楷体" w:eastAsia="方正仿宋_GBK" w:cs="楷体"/>
                <w:kern w:val="0"/>
                <w:sz w:val="20"/>
                <w:lang w:bidi="ar"/>
              </w:rPr>
              <w:t>（七）总计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eastAsia="方正仿宋_GBK" w:cs="Calibri"/>
                <w:kern w:val="0"/>
                <w:sz w:val="20"/>
                <w:lang w:val="en-US" w:eastAsia="zh-CN" w:bidi="ar"/>
              </w:rPr>
              <w:t>1</w:t>
            </w: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eastAsia="方正仿宋_GBK" w:cs="Calibri"/>
                <w:kern w:val="0"/>
                <w:sz w:val="20"/>
                <w:lang w:val="en-US" w:eastAsia="zh-CN" w:bidi="ar"/>
              </w:rPr>
              <w:t>1</w:t>
            </w: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2</w:t>
            </w: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lang w:bidi="ar"/>
              </w:rPr>
              <w:t>四、结转下年度继续办理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eastAsia="方正仿宋_GBK" w:cs="Calibri"/>
                <w:kern w:val="0"/>
                <w:sz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方正仿宋_GBK" w:cs="Calibri"/>
                <w:kern w:val="0"/>
                <w:sz w:val="20"/>
                <w:lang w:val="en-US" w:eastAsia="zh-CN" w:bidi="ar"/>
              </w:rPr>
            </w:pPr>
            <w:r>
              <w:rPr>
                <w:rFonts w:hint="eastAsia" w:eastAsia="方正仿宋_GBK" w:cs="Calibri"/>
                <w:kern w:val="0"/>
                <w:sz w:val="20"/>
                <w:lang w:val="en-US" w:eastAsia="zh-CN" w:bidi="ar"/>
              </w:rPr>
              <w:t>0</w:t>
            </w:r>
          </w:p>
        </w:tc>
      </w:tr>
    </w:tbl>
    <w:p>
      <w:pPr>
        <w:ind w:firstLine="640" w:firstLineChars="200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四、政府信息公开行政复议、行政诉讼情况</w:t>
      </w:r>
    </w:p>
    <w:tbl>
      <w:tblPr>
        <w:tblStyle w:val="6"/>
        <w:tblW w:w="9071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lang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lang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lang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lang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lang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lang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lang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6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lang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lang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lang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lang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lang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方正仿宋_GBK" w:eastAsia="方正仿宋_GBK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方正仿宋_GBK" w:cs="Calibri"/>
                <w:kern w:val="0"/>
                <w:sz w:val="20"/>
                <w:lang w:val="en-US" w:eastAsia="zh-CN" w:bidi="ar"/>
              </w:rPr>
            </w:pPr>
            <w:r>
              <w:rPr>
                <w:rFonts w:hint="eastAsia" w:eastAsia="方正仿宋_GBK" w:cs="Calibri"/>
                <w:kern w:val="0"/>
                <w:sz w:val="20"/>
                <w:lang w:val="en-US" w:eastAsia="zh-CN" w:bidi="ar"/>
              </w:rPr>
              <w:t> 0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方正仿宋_GBK" w:cs="Calibri"/>
                <w:kern w:val="0"/>
                <w:sz w:val="20"/>
                <w:lang w:val="en-US" w:eastAsia="zh-CN" w:bidi="ar"/>
              </w:rPr>
            </w:pPr>
            <w:r>
              <w:rPr>
                <w:rFonts w:hint="eastAsia" w:eastAsia="方正仿宋_GBK" w:cs="Calibri"/>
                <w:kern w:val="0"/>
                <w:sz w:val="20"/>
                <w:lang w:val="en-US" w:eastAsia="zh-CN" w:bidi="ar"/>
              </w:rPr>
              <w:t>0 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方正仿宋_GBK" w:cs="Calibri"/>
                <w:kern w:val="0"/>
                <w:sz w:val="20"/>
                <w:lang w:val="en-US" w:eastAsia="zh-CN" w:bidi="ar"/>
              </w:rPr>
            </w:pPr>
            <w:r>
              <w:rPr>
                <w:rFonts w:hint="eastAsia" w:eastAsia="方正仿宋_GBK" w:cs="Calibri"/>
                <w:kern w:val="0"/>
                <w:sz w:val="20"/>
                <w:lang w:val="en-US" w:eastAsia="zh-CN" w:bidi="ar"/>
              </w:rPr>
              <w:t> 0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方正仿宋_GBK" w:cs="Calibri"/>
                <w:kern w:val="0"/>
                <w:sz w:val="20"/>
                <w:lang w:val="en-US" w:eastAsia="zh-CN" w:bidi="ar"/>
              </w:rPr>
            </w:pPr>
            <w:r>
              <w:rPr>
                <w:rFonts w:hint="eastAsia" w:eastAsia="方正仿宋_GBK" w:cs="Calibri"/>
                <w:kern w:val="0"/>
                <w:sz w:val="20"/>
                <w:lang w:val="en-US" w:eastAsia="zh-CN" w:bidi="ar"/>
              </w:rPr>
              <w:t> 0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方正仿宋_GBK" w:cs="Calibri"/>
                <w:kern w:val="0"/>
                <w:sz w:val="20"/>
                <w:lang w:val="en-US" w:eastAsia="zh-CN" w:bidi="ar"/>
              </w:rPr>
            </w:pPr>
            <w:r>
              <w:rPr>
                <w:rFonts w:hint="eastAsia" w:eastAsia="方正仿宋_GBK" w:cs="Calibri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方正仿宋_GBK" w:cs="Calibri"/>
                <w:kern w:val="0"/>
                <w:sz w:val="20"/>
                <w:lang w:val="en-US" w:eastAsia="zh-CN" w:bidi="ar"/>
              </w:rPr>
            </w:pPr>
            <w:r>
              <w:rPr>
                <w:rFonts w:hint="eastAsia" w:eastAsia="方正仿宋_GBK" w:cs="Calibri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方正仿宋_GBK" w:cs="Calibri"/>
                <w:kern w:val="0"/>
                <w:sz w:val="20"/>
                <w:lang w:val="en-US" w:eastAsia="zh-CN" w:bidi="ar"/>
              </w:rPr>
            </w:pPr>
            <w:r>
              <w:rPr>
                <w:rFonts w:hint="eastAsia" w:eastAsia="方正仿宋_GBK" w:cs="Calibri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方正仿宋_GBK" w:cs="Calibri"/>
                <w:kern w:val="0"/>
                <w:sz w:val="20"/>
                <w:lang w:val="en-US" w:eastAsia="zh-CN" w:bidi="ar"/>
              </w:rPr>
            </w:pPr>
            <w:r>
              <w:rPr>
                <w:rFonts w:hint="eastAsia" w:eastAsia="方正仿宋_GBK" w:cs="Calibri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方正仿宋_GBK" w:cs="Calibri"/>
                <w:kern w:val="0"/>
                <w:sz w:val="20"/>
                <w:lang w:val="en-US" w:eastAsia="zh-CN" w:bidi="ar"/>
              </w:rPr>
            </w:pPr>
            <w:r>
              <w:rPr>
                <w:rFonts w:hint="eastAsia" w:eastAsia="方正仿宋_GBK" w:cs="Calibri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方正仿宋_GBK" w:cs="Calibri"/>
                <w:kern w:val="0"/>
                <w:sz w:val="20"/>
                <w:lang w:val="en-US" w:eastAsia="zh-CN" w:bidi="ar"/>
              </w:rPr>
            </w:pPr>
            <w:r>
              <w:rPr>
                <w:rFonts w:hint="eastAsia" w:eastAsia="方正仿宋_GBK" w:cs="Calibri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方正仿宋_GBK" w:cs="Calibri"/>
                <w:kern w:val="0"/>
                <w:sz w:val="20"/>
                <w:lang w:val="en-US" w:eastAsia="zh-CN" w:bidi="ar"/>
              </w:rPr>
            </w:pPr>
            <w:r>
              <w:rPr>
                <w:rFonts w:hint="eastAsia" w:eastAsia="方正仿宋_GBK" w:cs="Calibri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方正仿宋_GBK" w:cs="Calibri"/>
                <w:kern w:val="0"/>
                <w:sz w:val="20"/>
                <w:lang w:val="en-US" w:eastAsia="zh-CN" w:bidi="ar"/>
              </w:rPr>
            </w:pPr>
            <w:r>
              <w:rPr>
                <w:rFonts w:hint="eastAsia" w:eastAsia="方正仿宋_GBK" w:cs="Calibri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方正仿宋_GBK" w:cs="Calibri"/>
                <w:kern w:val="0"/>
                <w:sz w:val="20"/>
                <w:lang w:val="en-US" w:eastAsia="zh-CN" w:bidi="ar"/>
              </w:rPr>
            </w:pPr>
            <w:r>
              <w:rPr>
                <w:rFonts w:hint="eastAsia" w:eastAsia="方正仿宋_GBK" w:cs="Calibri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方正仿宋_GBK" w:cs="Calibri"/>
                <w:kern w:val="0"/>
                <w:sz w:val="20"/>
                <w:lang w:val="en-US" w:eastAsia="zh-CN" w:bidi="ar"/>
              </w:rPr>
            </w:pPr>
            <w:r>
              <w:rPr>
                <w:rFonts w:hint="eastAsia" w:eastAsia="方正仿宋_GBK" w:cs="Calibri"/>
                <w:kern w:val="0"/>
                <w:sz w:val="2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方正仿宋_GBK" w:cs="Calibri"/>
                <w:kern w:val="0"/>
                <w:sz w:val="20"/>
                <w:lang w:val="en-US" w:eastAsia="zh-CN" w:bidi="ar"/>
              </w:rPr>
            </w:pPr>
            <w:r>
              <w:rPr>
                <w:rFonts w:hint="eastAsia" w:eastAsia="方正仿宋_GBK" w:cs="Calibri"/>
                <w:kern w:val="0"/>
                <w:sz w:val="20"/>
                <w:lang w:val="en-US" w:eastAsia="zh-CN" w:bidi="ar"/>
              </w:rPr>
              <w:t>0</w:t>
            </w:r>
          </w:p>
        </w:tc>
      </w:tr>
    </w:tbl>
    <w:p>
      <w:pPr>
        <w:spacing w:line="600" w:lineRule="exact"/>
        <w:ind w:firstLine="640" w:firstLineChars="200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五、存在的主要问题及改进情况</w:t>
      </w:r>
    </w:p>
    <w:p>
      <w:pPr>
        <w:spacing w:line="600" w:lineRule="exact"/>
        <w:ind w:firstLine="640" w:firstLineChars="200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存在的主要问题：</w:t>
      </w:r>
      <w:r>
        <w:rPr>
          <w:rFonts w:hint="eastAsia" w:ascii="方正仿宋_GBK" w:eastAsia="方正仿宋_GBK"/>
          <w:sz w:val="32"/>
          <w:szCs w:val="32"/>
          <w:lang w:eastAsia="zh-CN"/>
        </w:rPr>
        <w:t>市场监管工作线多面广，</w:t>
      </w:r>
      <w:r>
        <w:rPr>
          <w:rFonts w:hint="eastAsia" w:ascii="方正仿宋_GBK"/>
          <w:sz w:val="32"/>
          <w:szCs w:val="32"/>
          <w:lang w:eastAsia="zh-CN"/>
        </w:rPr>
        <w:t>民生领域任务重、事务多，群众关注度高，而当前</w:t>
      </w:r>
      <w:r>
        <w:rPr>
          <w:rFonts w:hint="eastAsia" w:ascii="方正仿宋_GBK" w:eastAsia="方正仿宋_GBK"/>
          <w:sz w:val="32"/>
          <w:szCs w:val="32"/>
          <w:lang w:eastAsia="zh-CN"/>
        </w:rPr>
        <w:t>政府信息公开工作的整体水平还不够高，主要表现在公开的信息量有待提升、公开的方式途径还不够广</w:t>
      </w:r>
      <w:r>
        <w:rPr>
          <w:rFonts w:hint="eastAsia" w:ascii="方正仿宋_GBK"/>
          <w:sz w:val="32"/>
          <w:szCs w:val="32"/>
          <w:lang w:eastAsia="zh-CN"/>
        </w:rPr>
        <w:t>等等</w:t>
      </w:r>
      <w:r>
        <w:rPr>
          <w:rFonts w:hint="eastAsia" w:ascii="方正仿宋_GBK" w:eastAsia="方正仿宋_GBK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改进举措：</w:t>
      </w:r>
      <w:r>
        <w:rPr>
          <w:rFonts w:hint="eastAsia" w:ascii="方正仿宋_GBK" w:eastAsia="方正仿宋_GBK"/>
          <w:sz w:val="32"/>
          <w:szCs w:val="32"/>
          <w:lang w:eastAsia="zh-CN"/>
        </w:rPr>
        <w:t>下一步，本部门将进一步加强信息公开工作内部管理，拓展信息公开渠道，加快微信、微博等新媒体建设，丰富信息公开内容</w:t>
      </w:r>
      <w:r>
        <w:rPr>
          <w:rFonts w:hint="eastAsia" w:ascii="方正仿宋_GBK"/>
          <w:sz w:val="32"/>
          <w:szCs w:val="32"/>
          <w:lang w:eastAsia="zh-CN"/>
        </w:rPr>
        <w:t>，做好各类政策宣传解读工作，不断增强信息公开引导能力，推动信息公开工作水平不断提升。</w:t>
      </w:r>
    </w:p>
    <w:p>
      <w:pPr>
        <w:spacing w:line="600" w:lineRule="exact"/>
        <w:ind w:firstLine="640" w:firstLineChars="200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六、其他需要报告的事项</w:t>
      </w:r>
    </w:p>
    <w:p>
      <w:pPr>
        <w:spacing w:line="600" w:lineRule="exact"/>
        <w:ind w:firstLine="640" w:firstLineChars="200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无。</w:t>
      </w:r>
    </w:p>
    <w:p>
      <w:pPr>
        <w:spacing w:line="600" w:lineRule="exact"/>
        <w:ind w:firstLine="640" w:firstLineChars="200"/>
        <w:rPr>
          <w:rFonts w:hint="eastAsia" w:ascii="方正仿宋_GBK" w:eastAsia="方正仿宋_GBK"/>
          <w:sz w:val="32"/>
          <w:szCs w:val="32"/>
          <w:lang w:eastAsia="zh-CN"/>
        </w:rPr>
      </w:pPr>
    </w:p>
    <w:p>
      <w:pPr>
        <w:spacing w:line="600" w:lineRule="exact"/>
        <w:ind w:firstLine="640" w:firstLineChars="200"/>
        <w:jc w:val="center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     </w:t>
      </w:r>
      <w:r>
        <w:rPr>
          <w:rFonts w:hint="eastAsia" w:ascii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eastAsia="方正仿宋_GBK"/>
          <w:sz w:val="32"/>
          <w:szCs w:val="32"/>
          <w:lang w:eastAsia="zh-CN"/>
        </w:rPr>
        <w:t>重庆市江北区市场监督管理局</w:t>
      </w:r>
    </w:p>
    <w:p>
      <w:pPr>
        <w:spacing w:line="600" w:lineRule="exact"/>
        <w:ind w:firstLine="640" w:firstLineChars="200"/>
        <w:jc w:val="center"/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   </w:t>
      </w:r>
      <w:r>
        <w:rPr>
          <w:rFonts w:hint="eastAsia" w:ascii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202</w:t>
      </w:r>
      <w:r>
        <w:rPr>
          <w:rFonts w:hint="eastAsia" w:ascii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年</w:t>
      </w:r>
      <w:r>
        <w:rPr>
          <w:rFonts w:hint="eastAsia" w:ascii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月</w:t>
      </w:r>
      <w:r>
        <w:rPr>
          <w:rFonts w:hint="eastAsia" w:ascii="方正仿宋_GBK"/>
          <w:sz w:val="32"/>
          <w:szCs w:val="32"/>
          <w:lang w:val="en-US" w:eastAsia="zh-CN"/>
        </w:rPr>
        <w:t>31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宋体" w:hAnsi="宋体" w:eastAsia="宋体" w:cs="宋体"/>
        <w:sz w:val="28"/>
        <w:szCs w:val="28"/>
      </w:rPr>
    </w:pPr>
    <w:r>
      <w:rPr>
        <w:rStyle w:val="5"/>
        <w:rFonts w:hint="eastAsia" w:ascii="宋体" w:hAnsi="宋体" w:eastAsia="宋体" w:cs="宋体"/>
        <w:sz w:val="28"/>
        <w:szCs w:val="28"/>
      </w:rPr>
      <w:t xml:space="preserve">— </w:t>
    </w:r>
    <w:r>
      <w:rPr>
        <w:rStyle w:val="5"/>
        <w:rFonts w:hint="eastAsia" w:ascii="宋体" w:hAnsi="宋体" w:eastAsia="宋体" w:cs="宋体"/>
        <w:sz w:val="28"/>
        <w:szCs w:val="28"/>
      </w:rPr>
      <w:fldChar w:fldCharType="begin"/>
    </w:r>
    <w:r>
      <w:rPr>
        <w:rStyle w:val="5"/>
        <w:rFonts w:hint="eastAsia" w:ascii="宋体" w:hAnsi="宋体" w:eastAsia="宋体" w:cs="宋体"/>
        <w:sz w:val="28"/>
        <w:szCs w:val="28"/>
      </w:rPr>
      <w:instrText xml:space="preserve">PAGE  </w:instrText>
    </w:r>
    <w:r>
      <w:rPr>
        <w:rStyle w:val="5"/>
        <w:rFonts w:hint="eastAsia" w:ascii="宋体" w:hAnsi="宋体" w:eastAsia="宋体" w:cs="宋体"/>
        <w:sz w:val="28"/>
        <w:szCs w:val="28"/>
      </w:rPr>
      <w:fldChar w:fldCharType="separate"/>
    </w:r>
    <w:r>
      <w:rPr>
        <w:rStyle w:val="5"/>
        <w:rFonts w:hint="eastAsia" w:ascii="宋体" w:hAnsi="宋体" w:eastAsia="宋体" w:cs="宋体"/>
        <w:sz w:val="28"/>
        <w:szCs w:val="28"/>
      </w:rPr>
      <w:t>1</w:t>
    </w:r>
    <w:r>
      <w:rPr>
        <w:rStyle w:val="5"/>
        <w:rFonts w:hint="eastAsia" w:ascii="宋体" w:hAnsi="宋体" w:eastAsia="宋体" w:cs="宋体"/>
        <w:sz w:val="28"/>
        <w:szCs w:val="28"/>
      </w:rPr>
      <w:fldChar w:fldCharType="end"/>
    </w:r>
    <w:r>
      <w:rPr>
        <w:rStyle w:val="5"/>
        <w:rFonts w:hint="eastAsia" w:ascii="宋体" w:hAnsi="宋体" w:eastAsia="宋体" w:cs="宋体"/>
        <w:sz w:val="28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622067"/>
    <w:rsid w:val="06784C41"/>
    <w:rsid w:val="08FC1381"/>
    <w:rsid w:val="0C931B18"/>
    <w:rsid w:val="23864BCF"/>
    <w:rsid w:val="32622067"/>
    <w:rsid w:val="3C921FE4"/>
    <w:rsid w:val="4A2E5D2F"/>
    <w:rsid w:val="7FB4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Calibri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2021-01-20T00:53:00Z</dcterms:created>
  <dc:creator>何逢博</dc:creator>
  <cp:lastModifiedBy>何逢博</cp:lastModifiedBy>
  <dcterms:modified xsi:type="dcterms:W3CDTF">2021-02-01T03:47:14Z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