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ind w:firstLine="0" w:firstLineChars="0"/>
        <w:rPr>
          <w:rFonts w:ascii="方正仿宋_GBK" w:hAnsi="方正仿宋_GBK" w:cs="方正仿宋_GBK"/>
          <w:sz w:val="44"/>
          <w:szCs w:val="44"/>
        </w:rPr>
      </w:pPr>
    </w:p>
    <w:p>
      <w:pPr>
        <w:pStyle w:val="5"/>
        <w:spacing w:line="540" w:lineRule="exact"/>
        <w:ind w:firstLine="0" w:firstLineChars="0"/>
        <w:rPr>
          <w:rFonts w:ascii="方正仿宋_GBK" w:hAnsi="方正仿宋_GBK" w:cs="方正仿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pacing w:val="28"/>
          <w:sz w:val="44"/>
          <w:szCs w:val="44"/>
        </w:rPr>
        <w:t>重庆市市场监督管理局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atLeast"/>
        <w:ind w:left="0" w:leftChars="0" w:right="0" w:rightChars="0" w:firstLine="1966" w:firstLineChars="530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pacing w:val="-28"/>
          <w:w w:val="98"/>
          <w:sz w:val="44"/>
          <w:szCs w:val="44"/>
        </w:rPr>
        <w:t>重庆市住房和城乡建设委员会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atLeast"/>
        <w:ind w:left="0" w:leftChars="0" w:right="0" w:rightChars="0" w:firstLine="1946" w:firstLineChars="307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 w:val="0"/>
          <w:spacing w:val="34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pacing w:val="99"/>
          <w:sz w:val="44"/>
          <w:szCs w:val="44"/>
        </w:rPr>
        <w:t>重庆市应急管理局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  <w:t>关于开展电梯综合保险试点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color w:val="000000"/>
          <w:spacing w:val="-14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  <w:t>助推</w:t>
      </w: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zh-TW"/>
        </w:rPr>
        <w:t>老旧电梯周期性更替</w:t>
      </w: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  <w:t>的通知</w:t>
      </w:r>
    </w:p>
    <w:p>
      <w:pPr>
        <w:spacing w:line="540" w:lineRule="exact"/>
        <w:jc w:val="center"/>
      </w:pPr>
      <w:r>
        <w:rPr>
          <w:rFonts w:hint="eastAsia"/>
        </w:rPr>
        <w:t>渝市监发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70</w:t>
      </w:r>
      <w:r>
        <w:rPr>
          <w:color w:val="000000"/>
        </w:rPr>
        <w:t>号</w:t>
      </w:r>
    </w:p>
    <w:p>
      <w:pPr>
        <w:jc w:val="left"/>
        <w:rPr>
          <w:rFonts w:ascii="方正小标宋_GBK" w:hAnsi="方正小标宋_GBK" w:eastAsia="方正小标宋_GBK" w:cs="方正小标宋_GBK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</w:rPr>
        <w:t>各区县市场监管局、住房城乡建委、应急局：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依据《中华人民共和国民法典》《中华人民共和国特种设备安全法》《重庆市物业专项维修资金管理办法》（重庆市人民政府令第347号），按照《重庆市“安全乘梯守护行动”工作方案》（渝府办发〔2021〕94 号）的工作要求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lang w:bidi="ar"/>
        </w:rPr>
        <w:t>，为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lang w:val="zh-TW" w:bidi="ar"/>
        </w:rPr>
        <w:t>有效消除电梯安全隐患，促进电梯质量安全提升，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lang w:bidi="ar"/>
        </w:rPr>
        <w:t>让市民乘梯更加安心，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在全市开展电梯综合保险试点。现将有关事项通知如下：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lang w:bidi="ar"/>
        </w:rPr>
        <w:t>切实关注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我市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lang w:bidi="ar"/>
        </w:rPr>
        <w:t>群众反映普遍的“将电梯小修拖成大修，一般隐患拖成严重隐患”问题，将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电梯安全与保险服务的风险保障功能有效结合，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bidi="ar"/>
        </w:rPr>
        <w:t>推动破解“老旧电梯周期性更替隐患消除难”，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进一步提高我市电梯安全管理水平。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工作机制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按照“政府引导、协同推进，示范带动、市场运作，自愿保险、强化服务”的原则，建立“过程监督+事故预防+理赔服务”的联动机制，强化电梯保险服务的事前、事中预防及事后补偿功能，构建电梯安全“业主参与、保险保障、部门监督、智慧管理”的综合治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三、工作步骤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试点阶段（2023年）。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召开会议安排部署；组织宣传发动，进行人员培训；指导保险机构完善相关投保手续，发放服务手册，签单起保，开展理赔服务。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推广阶段（2024年）。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总结评估试点情况，推出成熟保险产品“渝梯保”，在全市逐步推广。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常态阶段（2025年）。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总结评估推广情况，在全市形成电梯综合保险工作常态。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</w:rPr>
        <w:t>（一）进一步落实电梯使用单位主体责任。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bidi="ar"/>
        </w:rPr>
        <w:t>按照市场监管总局《特种设备使用单位落实使用安全主体责任监督管理规定》，电梯使用单位设立安全总监、安全员后，要制定风险管控清单，落实电梯使用安全风险日管控、周排查、月调度管理。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使用单位不能“以保代管”，不能认为电梯购买了综合保险就放任不管；在积极沟通业主推动电梯综合保险的同时，要监督保险机构开展服务，管理好电梯保险事项；组织开展满意度测评，对电梯综合保险提出合理化建议。电梯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bidi="ar"/>
        </w:rPr>
        <w:t>安全管理人员要突出工作重点，更好履职。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</w:rPr>
        <w:t>（二）进一步落实电梯生产单位保障责任。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按照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bidi="ar"/>
        </w:rPr>
        <w:t>市场监管总局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《特种设备生产单位落实质量安全主体责任监督管理规定》，电梯制造、安装和维保单位设立质量安全总监、质量安全员后，要建立基于电梯质量安全风险防控的动态管理机制，落实好日管控、周排查、月调度工作。维保单位要进一步加强作业人员管理，提升维保质量，进一步提高群众的安全意识和满意度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</w:rPr>
        <w:t>（三）进一步明确电梯业主监督责任。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业主自觉遵守文明乘梯行为准则，进一步提高安全乘梯意识。积极参与电梯安全管理，对物业、维保单位和保险机构实施监督，共同管理好电梯。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五、保障措施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各区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县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市场监管局、住房城乡建委、应急局要加强协调联动，共同推进工作落地落实。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</w:rPr>
        <w:t>（一）制定实施方案。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各区县市场监管局牵头，结合实际制定具体实施方案，统筹推进电梯综合保险试点。推进过程中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单一产权电梯、保障性住房电梯先行先试；可根据实际情况确定试点范围，不限于上述电梯。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</w:rPr>
        <w:t>（二）健全保险服务机制。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保险机构做好“保险+服务”，提供多种保险产品，丰富市场供给，提供风险防控和隐患排查专业指导，及时理赔，化解纠纷，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bidi="ar"/>
        </w:rPr>
        <w:t>延长电梯大修改造周期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bidi="ar"/>
        </w:rPr>
        <w:t>一要建立隐患消除工作机制，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接受业主、使用单位、维保单位的合理化建议，帮助开展“老旧电梯”安全评估和“三无电梯”问题整改，及时消除电梯安全隐患。二要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lang w:bidi="ar"/>
        </w:rPr>
        <w:t>健全内部管理和监督考核机制，加强业务员的管理，不得出现业务员与维保单位挂钩强行进入的情况；三要针对使用单位变更、业主诉求等原因，造成不能续保的情形，保险机构要建立产品接续、赎回等救助机制；四要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对电梯维保质量建立监督抽查和考核机制，推行智慧电梯和无纸化维保；五要提供维保单位评测结果公示机制，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bidi="ar"/>
        </w:rPr>
        <w:t>给使用单位选择维保单位提供维保单位资质、技术力量、业绩等多方面综合评估结果参考。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</w:rPr>
        <w:t>（三）健全经费筹措机制。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lang w:bidi="ar"/>
        </w:rPr>
        <w:t>除单位和业主自理、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小区公共收益及捐赠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lang w:bidi="ar"/>
        </w:rPr>
        <w:t>外，各地可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按照《重庆市物业专项维修资金管理办法》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（重庆市人民政府令第347号）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有关规定，申请使用物业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lang w:bidi="ar"/>
        </w:rPr>
        <w:t>专项维修资金或其收益投保电梯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综合保险。争取通过政府引导资金等方式，支持老旧电梯购买综合保险，及时消除安全隐患。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</w:rPr>
        <w:t>）健全安全管理机制。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  <w:lang w:bidi="ar"/>
        </w:rPr>
        <w:t>市、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区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县相关部门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督促保险机构按照承保、理赔流程开展服务。不得指派保险机构，不得限制保险机构进入本地市场。对试点中发现的问题要立即研究解决，重大情况及时向上级部门报告。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</w:rPr>
        <w:t>（五）健全宣传引导机制。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做好电梯综合保险宣传发动、教育和培训。强化工作交流和协调，畅通与业主的沟通渠道，并及时根据试点情况进行疏解引导。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各部门要不断提炼总结试点工作好的做法和经验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，并及时报送主管部门。请各区县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市场监管局每年12月20日前将试点情况（见附件1、2）报市市场监管局。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联系人：李天平，63557186</w:t>
      </w:r>
    </w:p>
    <w:p>
      <w:pPr>
        <w:pStyle w:val="2"/>
        <w:spacing w:after="0" w:line="600" w:lineRule="exact"/>
        <w:ind w:left="0" w:leftChars="0" w:firstLine="632"/>
        <w:rPr>
          <w:rFonts w:hint="eastAsia" w:ascii="方正仿宋_GBK" w:hAnsi="方正仿宋_GBK" w:cs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附件：1</w:t>
      </w:r>
      <w:r>
        <w:rPr>
          <w:rFonts w:hint="eastAsia" w:ascii="Times New Roman" w:hAnsi="Times New Roman" w:cs="方正仿宋_GBK"/>
          <w:b w:val="0"/>
          <w:bCs w:val="0"/>
          <w:kern w:val="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重庆市电梯综合保险试点推进表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cs="方正仿宋_GBK"/>
          <w:b w:val="0"/>
          <w:bCs w:val="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2</w:t>
      </w:r>
      <w:r>
        <w:rPr>
          <w:rFonts w:hint="eastAsia" w:ascii="Times New Roman" w:hAnsi="Times New Roman" w:cs="方正仿宋_GBK"/>
          <w:b w:val="0"/>
          <w:bCs w:val="0"/>
          <w:kern w:val="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电梯综合保险试点明细表</w:t>
      </w:r>
    </w:p>
    <w:p>
      <w:pPr>
        <w:pStyle w:val="2"/>
        <w:spacing w:after="0" w:line="600" w:lineRule="exact"/>
        <w:ind w:left="0" w:leftChars="0" w:firstLine="632"/>
        <w:rPr>
          <w:rFonts w:hint="eastAsia" w:ascii="方正仿宋_GBK" w:hAnsi="方正仿宋_GBK" w:cs="方正仿宋_GBK"/>
          <w:szCs w:val="32"/>
        </w:rPr>
      </w:pPr>
    </w:p>
    <w:tbl>
      <w:tblPr>
        <w:tblStyle w:val="15"/>
        <w:tblpPr w:leftFromText="180" w:rightFromText="180" w:vertAnchor="text" w:horzAnchor="page" w:tblpX="6276" w:tblpY="103"/>
        <w:tblOverlap w:val="never"/>
        <w:tblW w:w="4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distribute"/>
              <w:rPr>
                <w:rFonts w:hint="eastAsia" w:ascii="Times New Roman" w:hAnsi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32"/>
                <w:szCs w:val="32"/>
              </w:rPr>
              <w:t>重庆市市场监督管理局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distribute"/>
              <w:rPr>
                <w:rFonts w:hint="eastAsia" w:ascii="Times New Roman" w:hAnsi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pacing w:val="-9"/>
                <w:kern w:val="0"/>
                <w:sz w:val="32"/>
                <w:szCs w:val="32"/>
              </w:rPr>
              <w:t>重庆市住房和城乡建设委员会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distribute"/>
              <w:rPr>
                <w:rFonts w:hint="eastAsia" w:ascii="Times New Roman" w:hAnsi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32"/>
                <w:szCs w:val="32"/>
              </w:rPr>
              <w:t>重庆市应急管理局</w:t>
            </w:r>
          </w:p>
        </w:tc>
      </w:tr>
    </w:tbl>
    <w:p>
      <w:pPr>
        <w:pStyle w:val="2"/>
        <w:spacing w:after="0" w:line="600" w:lineRule="exact"/>
        <w:ind w:left="0" w:leftChars="0" w:firstLine="632"/>
        <w:rPr>
          <w:rFonts w:hint="eastAsia" w:ascii="方正仿宋_GBK" w:hAnsi="方正仿宋_GBK" w:cs="方正仿宋_GBK"/>
          <w:szCs w:val="32"/>
        </w:rPr>
      </w:pPr>
    </w:p>
    <w:p>
      <w:pPr>
        <w:pStyle w:val="2"/>
        <w:spacing w:after="0" w:line="600" w:lineRule="exact"/>
        <w:ind w:left="0" w:leftChars="0" w:firstLine="632"/>
        <w:rPr>
          <w:rFonts w:hint="eastAsia" w:ascii="方正仿宋_GBK" w:hAnsi="方正仿宋_GBK" w:cs="方正仿宋_GBK"/>
          <w:szCs w:val="32"/>
        </w:rPr>
      </w:pPr>
    </w:p>
    <w:p>
      <w:pPr>
        <w:pStyle w:val="2"/>
        <w:spacing w:after="0" w:line="600" w:lineRule="exact"/>
        <w:ind w:left="0" w:leftChars="0" w:firstLine="632"/>
        <w:rPr>
          <w:rFonts w:hint="eastAsia" w:ascii="方正仿宋_GBK" w:hAnsi="方正仿宋_GBK" w:cs="方正仿宋_GBK"/>
          <w:szCs w:val="32"/>
        </w:rPr>
      </w:pPr>
    </w:p>
    <w:p>
      <w:pPr>
        <w:pStyle w:val="2"/>
        <w:spacing w:after="0" w:line="600" w:lineRule="exact"/>
        <w:ind w:firstLine="5072" w:firstLineChars="1600"/>
        <w:jc w:val="left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cs="方正仿宋_GBK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023年</w:t>
      </w:r>
      <w:r>
        <w:rPr>
          <w:rFonts w:hint="eastAsia" w:ascii="Times New Roman" w:hAnsi="Times New Roman" w:cs="方正仿宋_GBK"/>
          <w:b w:val="0"/>
          <w:bCs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月</w:t>
      </w:r>
      <w:r>
        <w:rPr>
          <w:rFonts w:hint="eastAsia" w:ascii="Times New Roman" w:hAnsi="Times New Roman" w:cs="方正仿宋_GBK"/>
          <w:b w:val="0"/>
          <w:bCs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t>日</w:t>
      </w:r>
    </w:p>
    <w:p>
      <w:pPr>
        <w:pStyle w:val="2"/>
        <w:spacing w:after="0" w:line="600" w:lineRule="exact"/>
        <w:ind w:left="0" w:leftChars="0" w:firstLine="634" w:firstLineChars="200"/>
        <w:jc w:val="left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/>
        </w:rPr>
        <w:t>（此件公开发布）</w:t>
      </w:r>
    </w:p>
    <w:p>
      <w:pPr>
        <w:pStyle w:val="2"/>
        <w:spacing w:after="0" w:line="600" w:lineRule="exact"/>
        <w:ind w:left="0" w:leftChars="0" w:firstLine="632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</w:pPr>
    </w:p>
    <w:p>
      <w:pPr>
        <w:pStyle w:val="2"/>
        <w:spacing w:after="0" w:line="600" w:lineRule="exact"/>
        <w:ind w:left="0" w:leftChars="0" w:firstLine="632"/>
        <w:rPr>
          <w:rFonts w:hint="eastAsia" w:ascii="Times New Roman" w:hAnsi="Times New Roman" w:eastAsia="方正仿宋_GBK" w:cs="方正仿宋_GBK"/>
          <w:b w:val="0"/>
          <w:bCs w:val="0"/>
          <w:kern w:val="0"/>
          <w:sz w:val="32"/>
          <w:szCs w:val="32"/>
        </w:rPr>
        <w:sectPr>
          <w:headerReference r:id="rId3" w:type="default"/>
          <w:footerReference r:id="rId4" w:type="default"/>
          <w:pgSz w:w="11911" w:h="16838"/>
          <w:pgMar w:top="1962" w:right="1474" w:bottom="1848" w:left="1587" w:header="850" w:footer="964" w:gutter="0"/>
          <w:cols w:space="0" w:num="1"/>
          <w:docGrid w:type="linesAndChars" w:linePitch="554" w:charSpace="-805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kern w:val="0"/>
          <w:sz w:val="44"/>
          <w:szCs w:val="44"/>
        </w:rPr>
        <w:t>重庆市电梯综合保险试点推进表</w:t>
      </w:r>
    </w:p>
    <w:p>
      <w:pPr>
        <w:snapToGrid w:val="0"/>
        <w:spacing w:line="320" w:lineRule="exact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276" w:firstLineChars="1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28"/>
          <w:szCs w:val="28"/>
        </w:rPr>
        <w:t xml:space="preserve">填报单位：   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28"/>
          <w:szCs w:val="28"/>
        </w:rPr>
        <w:t xml:space="preserve">                                            </w:t>
      </w:r>
      <w:r>
        <w:rPr>
          <w:rFonts w:hint="eastAsia" w:ascii="Times New Roman" w:hAnsi="Times New Roman" w:eastAsia="方正仿宋_GBK" w:cs="方正仿宋_GBK"/>
          <w:b w:val="0"/>
          <w:bCs w:val="0"/>
          <w:sz w:val="28"/>
          <w:szCs w:val="28"/>
        </w:rPr>
        <w:t xml:space="preserve"> 填报时间：</w:t>
      </w:r>
    </w:p>
    <w:tbl>
      <w:tblPr>
        <w:tblStyle w:val="15"/>
        <w:tblW w:w="13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804"/>
        <w:gridCol w:w="1695"/>
        <w:gridCol w:w="1470"/>
        <w:gridCol w:w="1575"/>
        <w:gridCol w:w="1875"/>
        <w:gridCol w:w="1725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3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保费来源</w:t>
            </w:r>
          </w:p>
        </w:tc>
        <w:tc>
          <w:tcPr>
            <w:tcW w:w="180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试点电梯（台）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涉及使用单位（家）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参与试点保险公司（家）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单台保费最低（元/年）</w:t>
            </w:r>
          </w:p>
        </w:tc>
        <w:tc>
          <w:tcPr>
            <w:tcW w:w="18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单台保费最高（元/年）</w:t>
            </w:r>
          </w:p>
        </w:tc>
        <w:tc>
          <w:tcPr>
            <w:tcW w:w="172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年度理赔金额（万元）</w:t>
            </w:r>
          </w:p>
        </w:tc>
        <w:tc>
          <w:tcPr>
            <w:tcW w:w="201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群众满意度（%）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631" w:type="dxa"/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  <w:t>自筹/物业专项维修资金/专项维修资金增值收益/小区公共收益/捐赠/政府财政支持</w:t>
            </w:r>
          </w:p>
        </w:tc>
        <w:tc>
          <w:tcPr>
            <w:tcW w:w="18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276" w:firstLineChars="1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kern w:val="0"/>
          <w:sz w:val="28"/>
          <w:szCs w:val="28"/>
        </w:rPr>
      </w:pPr>
    </w:p>
    <w:p>
      <w:pPr>
        <w:snapToGrid w:val="0"/>
        <w:spacing w:line="560" w:lineRule="exact"/>
        <w:ind w:firstLine="276" w:firstLineChars="100"/>
        <w:rPr>
          <w:rFonts w:hint="eastAsia" w:ascii="Times New Roman" w:hAnsi="Times New Roman" w:eastAsia="方正仿宋_GBK" w:cs="方正仿宋_GBK"/>
          <w:b w:val="0"/>
          <w:bCs w:val="0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28"/>
          <w:szCs w:val="28"/>
        </w:rPr>
        <w:t xml:space="preserve">联系人：                           </w:t>
      </w:r>
      <w:r>
        <w:rPr>
          <w:rFonts w:hint="eastAsia" w:ascii="Times New Roman" w:hAnsi="Times New Roman" w:cs="方正仿宋_GBK"/>
          <w:b w:val="0"/>
          <w:bCs w:val="0"/>
          <w:kern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方正仿宋_GBK"/>
          <w:b w:val="0"/>
          <w:bCs w:val="0"/>
          <w:kern w:val="0"/>
          <w:sz w:val="28"/>
          <w:szCs w:val="28"/>
        </w:rPr>
        <w:t xml:space="preserve">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kern w:val="0"/>
          <w:sz w:val="44"/>
          <w:szCs w:val="44"/>
        </w:rPr>
        <w:t>电梯综合保险试点明细表</w:t>
      </w:r>
    </w:p>
    <w:tbl>
      <w:tblPr>
        <w:tblStyle w:val="15"/>
        <w:tblW w:w="14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572"/>
        <w:gridCol w:w="1180"/>
        <w:gridCol w:w="1551"/>
        <w:gridCol w:w="1388"/>
        <w:gridCol w:w="1239"/>
        <w:gridCol w:w="1542"/>
        <w:gridCol w:w="1704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0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使用单位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电梯编号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梯龄  （年）</w:t>
            </w:r>
          </w:p>
        </w:tc>
        <w:tc>
          <w:tcPr>
            <w:tcW w:w="155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服务居民人数（人/台）</w:t>
            </w:r>
          </w:p>
        </w:tc>
        <w:tc>
          <w:tcPr>
            <w:tcW w:w="138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保险机构</w:t>
            </w:r>
          </w:p>
        </w:tc>
        <w:tc>
          <w:tcPr>
            <w:tcW w:w="123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单台保费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（元/年）</w:t>
            </w: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年度理赔金额（万元）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费用最短支付时间（小时）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kern w:val="0"/>
                <w:sz w:val="24"/>
                <w:szCs w:val="24"/>
              </w:rPr>
              <w:t>费用最长支付时间（小时）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94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94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94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94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spacing w:line="570" w:lineRule="exact"/>
        <w:ind w:right="24" w:firstLine="276" w:firstLineChars="100"/>
        <w:rPr>
          <w:rFonts w:hint="default" w:ascii="Times New Roman" w:hAnsi="Times New Roman" w:cs="Times New Roman"/>
          <w:b w:val="0"/>
          <w:bCs w:val="0"/>
          <w:sz w:val="28"/>
          <w:szCs w:val="28"/>
        </w:rPr>
        <w:sectPr>
          <w:pgSz w:w="16838" w:h="11906" w:orient="landscape"/>
          <w:pgMar w:top="1531" w:right="2098" w:bottom="1531" w:left="1984" w:header="851" w:footer="1417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720" w:num="1"/>
          <w:rtlGutter w:val="0"/>
          <w:docGrid w:type="linesAndChars" w:linePitch="589" w:charSpace="-849"/>
        </w:sectPr>
      </w:pPr>
    </w:p>
    <w:p>
      <w:pPr>
        <w:snapToGrid w:val="0"/>
        <w:jc w:val="left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pStyle w:val="2"/>
        <w:ind w:left="632" w:firstLine="632"/>
        <w:rPr>
          <w:rFonts w:ascii="方正小标宋_GBK" w:hAnsi="方正小标宋_GBK" w:eastAsia="方正小标宋_GBK" w:cs="方正小标宋_GBK"/>
          <w:color w:val="000000"/>
          <w:szCs w:val="32"/>
        </w:rPr>
      </w:pPr>
      <w:bookmarkStart w:id="1" w:name="_GoBack"/>
      <w:bookmarkEnd w:id="1"/>
      <w:bookmarkStart w:id="0" w:name="OLE_LINK1"/>
    </w:p>
    <w:p>
      <w:pPr>
        <w:snapToGrid w:val="0"/>
        <w:spacing w:line="720" w:lineRule="atLeas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bookmarkEnd w:id="0"/>
    <w:p>
      <w:pPr>
        <w:pStyle w:val="20"/>
        <w:spacing w:before="0" w:line="600" w:lineRule="exact"/>
        <w:ind w:left="0" w:firstLine="632" w:firstLineChars="200"/>
        <w:rPr>
          <w:sz w:val="28"/>
          <w:szCs w:val="28"/>
        </w:rPr>
      </w:pPr>
    </w:p>
    <w:sectPr>
      <w:pgSz w:w="16838" w:h="11911" w:orient="landscape"/>
      <w:pgMar w:top="1587" w:right="1962" w:bottom="1474" w:left="1848" w:header="850" w:footer="964" w:gutter="0"/>
      <w:paperSrc/>
      <w:cols w:space="0" w:num="1"/>
      <w:rtlGutter w:val="0"/>
      <w:docGrid w:type="linesAndChars" w:linePitch="590" w:charSpace="-8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方正仿宋_GBK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 w:eastAsia="宋体" w:cs="宋体"/>
        <w:b/>
        <w:bCs/>
        <w:color w:val="005192"/>
        <w:sz w:val="28"/>
        <w:szCs w:val="44"/>
      </w:rPr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-203835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05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OmRnNYAAAAIAQAADwAAAAAA&#10;AAABACAAAAAiAAAAZHJzL2Rvd25yZXYueG1sUEsBAhQAFAAAAAgAh07iQCTQYRcVAgAAFw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616575" cy="1905"/>
              <wp:effectExtent l="0" t="0" r="0" b="0"/>
              <wp:wrapNone/>
              <wp:docPr id="3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9pt;height:0.15pt;width:442.25pt;z-index:251669504;mso-width-relative:page;mso-height-relative:page;" filled="f" stroked="t" coordsize="21600,21600" o:gfxdata="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BN4qPRAAAABgEAAA8AAAAAAAAAAQAgAAAAIgAAAGRycy9kb3ducmV2Lnht&#10;bFBLAQIUABQAAAAIAIdO4kCV1b/JxwEAAF4DAAAOAAAAAAAAAAEAIAAAACABAABkcnMvZTJvRG9j&#10;LnhtbFBLBQYAAAAABgAGAFkBAABZBQAAAAA=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</w:p>
  <w:p>
    <w:pPr>
      <w:pStyle w:val="8"/>
      <w:ind w:firstLine="4804" w:firstLineChars="1709"/>
      <w:jc w:val="both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重庆市市场监督管理局发布</w:t>
    </w:r>
  </w:p>
  <w:p>
    <w:pPr>
      <w:pStyle w:val="8"/>
      <w:ind w:firstLine="4804" w:firstLineChars="1709"/>
      <w:jc w:val="both"/>
      <w:rPr>
        <w:rFonts w:ascii="宋体" w:hAnsi="宋体" w:eastAsia="宋体" w:cs="宋体"/>
        <w:b/>
        <w:bCs/>
        <w:color w:val="005192"/>
        <w:sz w:val="28"/>
        <w:szCs w:val="44"/>
      </w:rPr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jc w:val="left"/>
      <w:rPr>
        <w:rFonts w:ascii="宋体" w:hAnsi="宋体" w:eastAsia="宋体" w:cs="宋体"/>
        <w:b/>
        <w:bCs/>
        <w:color w:val="005192"/>
        <w:sz w:val="32"/>
      </w:rPr>
    </w:pPr>
  </w:p>
  <w:p>
    <w:pPr>
      <w:pStyle w:val="9"/>
      <w:pBdr>
        <w:bottom w:val="none" w:color="auto" w:sz="0" w:space="1"/>
      </w:pBdr>
      <w:jc w:val="left"/>
      <w:rPr>
        <w:rFonts w:ascii="宋体" w:hAnsi="宋体" w:eastAsia="宋体" w:cs="宋体"/>
        <w:b/>
        <w:bCs/>
        <w:color w:val="005192"/>
        <w:sz w:val="32"/>
        <w:szCs w:val="32"/>
        <w:lang w:eastAsia="zh-Hans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1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 w="9525"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重庆市市场监督管理局行政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  <w:p>
    <w:pPr>
      <w:pStyle w:val="9"/>
      <w:pBdr>
        <w:bottom w:val="none" w:color="auto" w:sz="0" w:space="1"/>
      </w:pBdr>
      <w:jc w:val="left"/>
      <w:rPr>
        <w:rFonts w:eastAsia="宋体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78105</wp:posOffset>
              </wp:positionV>
              <wp:extent cx="5616575" cy="1905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75pt;margin-top:6.15pt;height:0.15pt;width:442.25pt;z-index:251663360;mso-width-relative:page;mso-height-relative:page;" filled="f" stroked="t" coordsize="21600,21600" o:gfxdata="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d3R6fSAAAABwEAAA8AAAAAAAAAAQAgAAAAIgAAAGRycy9kb3ducmV2Lnht&#10;bFBLAQIUABQAAAAIAIdO4kCYrp2PxgEAAF4DAAAOAAAAAAAAAAEAIAAAACEBAABkcnMvZTJvRG9j&#10;LnhtbFBLBQYAAAAABgAGAFkBAABZBQAAAAA=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oNotHyphenateCaps/>
  <w:drawingGridHorizontalSpacing w:val="158"/>
  <w:drawingGridVerticalSpacing w:val="295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226B"/>
    <w:rsid w:val="0004373C"/>
    <w:rsid w:val="00043866"/>
    <w:rsid w:val="00043AB3"/>
    <w:rsid w:val="000460AE"/>
    <w:rsid w:val="000476FF"/>
    <w:rsid w:val="00050DC5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21D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2A02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0593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266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51A1042"/>
    <w:rsid w:val="09771982"/>
    <w:rsid w:val="0DF805A3"/>
    <w:rsid w:val="1C9D54E5"/>
    <w:rsid w:val="1DF610F3"/>
    <w:rsid w:val="20264985"/>
    <w:rsid w:val="235B1C57"/>
    <w:rsid w:val="27854499"/>
    <w:rsid w:val="2C4959EC"/>
    <w:rsid w:val="2D0E53A7"/>
    <w:rsid w:val="31D00111"/>
    <w:rsid w:val="320E1020"/>
    <w:rsid w:val="33546CB8"/>
    <w:rsid w:val="34DC344C"/>
    <w:rsid w:val="384E340E"/>
    <w:rsid w:val="3D0D5C68"/>
    <w:rsid w:val="3E012497"/>
    <w:rsid w:val="3E350F4E"/>
    <w:rsid w:val="406C0907"/>
    <w:rsid w:val="46886820"/>
    <w:rsid w:val="492424A2"/>
    <w:rsid w:val="4A3C1AF5"/>
    <w:rsid w:val="4AB01263"/>
    <w:rsid w:val="4B161173"/>
    <w:rsid w:val="4C572A92"/>
    <w:rsid w:val="4CDE2F4F"/>
    <w:rsid w:val="4E376696"/>
    <w:rsid w:val="50407AE2"/>
    <w:rsid w:val="53087649"/>
    <w:rsid w:val="5824393C"/>
    <w:rsid w:val="5D865F83"/>
    <w:rsid w:val="61C112D7"/>
    <w:rsid w:val="63FF1768"/>
    <w:rsid w:val="6484682B"/>
    <w:rsid w:val="656869E7"/>
    <w:rsid w:val="6A560A2C"/>
    <w:rsid w:val="6CF34004"/>
    <w:rsid w:val="7E7535BB"/>
    <w:rsid w:val="9DBFDF2E"/>
    <w:rsid w:val="DDDA5E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4">
    <w:name w:val="heading 2"/>
    <w:basedOn w:val="1"/>
    <w:next w:val="1"/>
    <w:unhideWhenUsed/>
    <w:qFormat/>
    <w:locked/>
    <w:uiPriority w:val="0"/>
    <w:pPr>
      <w:ind w:right="1"/>
      <w:jc w:val="center"/>
      <w:outlineLvl w:val="1"/>
    </w:pPr>
    <w:rPr>
      <w:rFonts w:ascii="Arial Unicode MS" w:hAnsi="Arial Unicode MS" w:eastAsia="Arial Unicode MS" w:cs="Arial Unicode MS"/>
      <w:sz w:val="36"/>
      <w:szCs w:val="36"/>
      <w:lang w:val="zh-CN" w:bidi="zh-CN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ind w:firstLine="200" w:firstLineChars="200"/>
    </w:pPr>
  </w:style>
  <w:style w:type="paragraph" w:styleId="6">
    <w:name w:val="Date"/>
    <w:basedOn w:val="1"/>
    <w:next w:val="1"/>
    <w:qFormat/>
    <w:uiPriority w:val="0"/>
    <w:rPr>
      <w:rFonts w:ascii="仿宋_GB2312" w:eastAsia="仿宋_GB231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Strong"/>
    <w:qFormat/>
    <w:locked/>
    <w:uiPriority w:val="0"/>
    <w:rPr>
      <w:b/>
    </w:rPr>
  </w:style>
  <w:style w:type="character" w:styleId="13">
    <w:name w:val="page number"/>
    <w:basedOn w:val="11"/>
    <w:qFormat/>
    <w:uiPriority w:val="0"/>
    <w:rPr>
      <w:rFonts w:cs="Times New Roman"/>
    </w:rPr>
  </w:style>
  <w:style w:type="table" w:styleId="15">
    <w:name w:val="Table Grid"/>
    <w:basedOn w:val="1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6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17">
    <w:name w:val="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19">
    <w:name w:val="_Style 9"/>
    <w:basedOn w:val="1"/>
    <w:qFormat/>
    <w:uiPriority w:val="1"/>
    <w:pPr>
      <w:spacing w:before="1"/>
      <w:ind w:left="928" w:firstLine="480"/>
    </w:pPr>
    <w:rPr>
      <w:rFonts w:ascii="宋体" w:hAnsi="宋体" w:eastAsia="宋体" w:cs="宋体"/>
      <w:lang w:val="zh-CN" w:bidi="zh-CN"/>
    </w:rPr>
  </w:style>
  <w:style w:type="paragraph" w:customStyle="1" w:styleId="20">
    <w:name w:val="_Style 1"/>
    <w:basedOn w:val="1"/>
    <w:qFormat/>
    <w:uiPriority w:val="1"/>
    <w:pPr>
      <w:spacing w:before="1"/>
      <w:ind w:left="928" w:firstLine="480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17</Pages>
  <Words>1101</Words>
  <Characters>6280</Characters>
  <Lines>52</Lines>
  <Paragraphs>14</Paragraphs>
  <ScaleCrop>false</ScaleCrop>
  <LinksUpToDate>false</LinksUpToDate>
  <CharactersWithSpaces>7367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2022-06-22T03:13:00Z</dcterms:created>
  <dc:creator>Lenovo User</dc:creator>
  <cp:lastModifiedBy>yangyun</cp:lastModifiedBy>
  <cp:lastPrinted>2019-08-28T18:07:00Z</cp:lastPrinted>
  <dcterms:modified xsi:type="dcterms:W3CDTF">2023-08-14T02:38:40Z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