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45" w:rsidRDefault="00AC1ED2">
      <w:pPr>
        <w:snapToGrid w:val="0"/>
        <w:spacing w:beforeLines="50" w:before="156"/>
        <w:jc w:val="center"/>
        <w:rPr>
          <w:rFonts w:eastAsia="方正小标宋_GBK"/>
          <w:color w:val="000000"/>
          <w:sz w:val="44"/>
        </w:rPr>
      </w:pPr>
      <w:r>
        <w:rPr>
          <w:rFonts w:eastAsia="方正小标宋_GBK" w:hint="eastAsia"/>
          <w:color w:val="000000"/>
          <w:sz w:val="44"/>
        </w:rPr>
        <w:t>关于《重庆市涉公平竞争审查举报处理办法（征求意见稿）》起草说明</w:t>
      </w:r>
    </w:p>
    <w:p w:rsidR="00A37245" w:rsidRDefault="00A37245">
      <w:pPr>
        <w:adjustRightInd w:val="0"/>
        <w:snapToGrid w:val="0"/>
        <w:spacing w:line="360" w:lineRule="auto"/>
        <w:ind w:firstLineChars="200" w:firstLine="620"/>
        <w:rPr>
          <w:rFonts w:ascii="黑体" w:eastAsia="黑体" w:hAnsi="黑体" w:cs="黑体"/>
          <w:color w:val="000000"/>
          <w:sz w:val="31"/>
          <w:szCs w:val="31"/>
          <w:shd w:val="clear" w:color="auto" w:fill="FFFFFF"/>
        </w:rPr>
      </w:pPr>
    </w:p>
    <w:p w:rsidR="00A37245" w:rsidRDefault="00AC1ED2">
      <w:pPr>
        <w:adjustRightInd w:val="0"/>
        <w:snapToGrid w:val="0"/>
        <w:spacing w:line="360" w:lineRule="auto"/>
        <w:ind w:firstLineChars="200" w:firstLine="620"/>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一、起草背景和主要依据</w:t>
      </w:r>
    </w:p>
    <w:p w:rsidR="00A37245" w:rsidRDefault="00AC1ED2">
      <w:pPr>
        <w:adjustRightInd w:val="0"/>
        <w:snapToGrid w:val="0"/>
        <w:spacing w:line="360" w:lineRule="auto"/>
        <w:ind w:firstLineChars="200" w:firstLine="640"/>
        <w:rPr>
          <w:rFonts w:ascii="仿宋" w:eastAsia="仿宋" w:hAnsi="仿宋" w:cs="方正仿宋_GBK"/>
          <w:sz w:val="32"/>
          <w:szCs w:val="32"/>
        </w:rPr>
      </w:pPr>
      <w:r>
        <w:rPr>
          <w:rFonts w:ascii="仿宋" w:eastAsia="仿宋" w:hAnsi="仿宋" w:cs="方正仿宋_GBK"/>
          <w:sz w:val="32"/>
          <w:szCs w:val="32"/>
        </w:rPr>
        <w:t>中办</w:t>
      </w:r>
      <w:r>
        <w:rPr>
          <w:rFonts w:ascii="仿宋" w:eastAsia="仿宋" w:hAnsi="仿宋" w:cs="方正仿宋_GBK" w:hint="eastAsia"/>
          <w:sz w:val="32"/>
          <w:szCs w:val="32"/>
        </w:rPr>
        <w:t>、</w:t>
      </w:r>
      <w:r>
        <w:rPr>
          <w:rFonts w:ascii="仿宋" w:eastAsia="仿宋" w:hAnsi="仿宋" w:cs="方正仿宋_GBK"/>
          <w:sz w:val="32"/>
          <w:szCs w:val="32"/>
        </w:rPr>
        <w:t>国办</w:t>
      </w:r>
      <w:r>
        <w:rPr>
          <w:rFonts w:ascii="仿宋" w:eastAsia="仿宋" w:hAnsi="仿宋" w:cs="方正仿宋_GBK" w:hint="eastAsia"/>
          <w:sz w:val="32"/>
          <w:szCs w:val="32"/>
        </w:rPr>
        <w:t>近日在印发的</w:t>
      </w:r>
      <w:r>
        <w:rPr>
          <w:rFonts w:ascii="仿宋" w:eastAsia="仿宋" w:hAnsi="仿宋" w:cs="方正仿宋_GBK"/>
          <w:sz w:val="32"/>
          <w:szCs w:val="32"/>
        </w:rPr>
        <w:t>《建设高标准市场体系行动方案》</w:t>
      </w:r>
      <w:r>
        <w:rPr>
          <w:rFonts w:ascii="仿宋" w:eastAsia="仿宋" w:hAnsi="仿宋" w:cs="方正仿宋_GBK" w:hint="eastAsia"/>
          <w:sz w:val="32"/>
          <w:szCs w:val="32"/>
        </w:rPr>
        <w:t>中要求，要全面完善公平竞争制度，探索建立公平竞争审查举报处理和回应机制，及时核查举报涉及的问题。为认真贯彻落实</w:t>
      </w:r>
      <w:r>
        <w:rPr>
          <w:rFonts w:ascii="仿宋" w:eastAsia="仿宋" w:hAnsi="仿宋" w:cs="方正仿宋_GBK"/>
          <w:sz w:val="32"/>
          <w:szCs w:val="32"/>
        </w:rPr>
        <w:t>中办</w:t>
      </w:r>
      <w:r>
        <w:rPr>
          <w:rFonts w:ascii="仿宋" w:eastAsia="仿宋" w:hAnsi="仿宋" w:cs="方正仿宋_GBK" w:hint="eastAsia"/>
          <w:sz w:val="32"/>
          <w:szCs w:val="32"/>
        </w:rPr>
        <w:t>、</w:t>
      </w:r>
      <w:r>
        <w:rPr>
          <w:rFonts w:ascii="仿宋" w:eastAsia="仿宋" w:hAnsi="仿宋" w:cs="方正仿宋_GBK"/>
          <w:sz w:val="32"/>
          <w:szCs w:val="32"/>
        </w:rPr>
        <w:t>国办</w:t>
      </w:r>
      <w:r>
        <w:rPr>
          <w:rFonts w:ascii="仿宋" w:eastAsia="仿宋" w:hAnsi="仿宋" w:cs="方正仿宋_GBK" w:hint="eastAsia"/>
          <w:sz w:val="32"/>
          <w:szCs w:val="32"/>
        </w:rPr>
        <w:t>文件要求，</w:t>
      </w:r>
      <w:r>
        <w:rPr>
          <w:rFonts w:ascii="仿宋_GB2312" w:eastAsia="仿宋_GB2312" w:hAnsi="宋体" w:cs="仿宋_GB2312" w:hint="eastAsia"/>
          <w:color w:val="000000"/>
          <w:sz w:val="31"/>
          <w:szCs w:val="31"/>
          <w:shd w:val="clear" w:color="auto" w:fill="FFFFFF"/>
        </w:rPr>
        <w:t>落实市场监管总局等四部门印发《关于进一步推进公平竞争审查</w:t>
      </w:r>
      <w:r>
        <w:rPr>
          <w:rFonts w:ascii="仿宋" w:eastAsia="仿宋" w:hAnsi="仿宋" w:cs="方正仿宋_GBK" w:hint="eastAsia"/>
          <w:sz w:val="32"/>
          <w:szCs w:val="32"/>
        </w:rPr>
        <w:t>工作的通知》（国市监反垄断〔</w:t>
      </w:r>
      <w:r>
        <w:rPr>
          <w:rFonts w:ascii="仿宋" w:eastAsia="仿宋" w:hAnsi="仿宋" w:cs="方正仿宋_GBK"/>
          <w:sz w:val="32"/>
          <w:szCs w:val="32"/>
        </w:rPr>
        <w:t>2020</w:t>
      </w:r>
      <w:r>
        <w:rPr>
          <w:rFonts w:ascii="仿宋" w:eastAsia="仿宋" w:hAnsi="仿宋" w:cs="方正仿宋_GBK" w:hint="eastAsia"/>
          <w:sz w:val="32"/>
          <w:szCs w:val="32"/>
        </w:rPr>
        <w:t>〕</w:t>
      </w:r>
      <w:r>
        <w:rPr>
          <w:rFonts w:ascii="仿宋" w:eastAsia="仿宋" w:hAnsi="仿宋" w:cs="方正仿宋_GBK"/>
          <w:sz w:val="32"/>
          <w:szCs w:val="32"/>
        </w:rPr>
        <w:t>73</w:t>
      </w:r>
      <w:r>
        <w:rPr>
          <w:rFonts w:ascii="仿宋" w:eastAsia="仿宋" w:hAnsi="仿宋" w:cs="方正仿宋_GBK" w:hint="eastAsia"/>
          <w:sz w:val="32"/>
          <w:szCs w:val="32"/>
        </w:rPr>
        <w:t>号）、国家发展改革委等五部门印发的《公平竞争审查制度实施细则（暂行）》（发改价监〔</w:t>
      </w:r>
      <w:r>
        <w:rPr>
          <w:rFonts w:ascii="仿宋" w:eastAsia="仿宋" w:hAnsi="仿宋" w:cs="方正仿宋_GBK"/>
          <w:sz w:val="32"/>
          <w:szCs w:val="32"/>
        </w:rPr>
        <w:t>20</w:t>
      </w:r>
      <w:r>
        <w:rPr>
          <w:rFonts w:ascii="仿宋" w:eastAsia="仿宋" w:hAnsi="仿宋" w:cs="方正仿宋_GBK" w:hint="eastAsia"/>
          <w:sz w:val="32"/>
          <w:szCs w:val="32"/>
        </w:rPr>
        <w:t>17</w:t>
      </w:r>
      <w:r>
        <w:rPr>
          <w:rFonts w:ascii="仿宋" w:eastAsia="仿宋" w:hAnsi="仿宋" w:cs="方正仿宋_GBK" w:hint="eastAsia"/>
          <w:sz w:val="32"/>
          <w:szCs w:val="32"/>
        </w:rPr>
        <w:t>〕</w:t>
      </w:r>
      <w:r>
        <w:rPr>
          <w:rFonts w:ascii="仿宋" w:eastAsia="仿宋" w:hAnsi="仿宋" w:cs="方正仿宋_GBK" w:hint="eastAsia"/>
          <w:sz w:val="32"/>
          <w:szCs w:val="32"/>
        </w:rPr>
        <w:t>1849</w:t>
      </w:r>
      <w:r>
        <w:rPr>
          <w:rFonts w:ascii="仿宋" w:eastAsia="仿宋" w:hAnsi="仿宋" w:cs="方正仿宋_GBK" w:hint="eastAsia"/>
          <w:sz w:val="32"/>
          <w:szCs w:val="32"/>
        </w:rPr>
        <w:t>号）等有关规定要求，进一步规范我市公平竞争审查举报处理工作，</w:t>
      </w:r>
      <w:r>
        <w:rPr>
          <w:rFonts w:ascii="Times New Roman" w:eastAsia="方正仿宋_GBK" w:hAnsi="Times New Roman" w:hint="eastAsia"/>
          <w:sz w:val="32"/>
          <w:szCs w:val="32"/>
        </w:rPr>
        <w:t>经</w:t>
      </w:r>
      <w:r>
        <w:rPr>
          <w:rFonts w:ascii="Times New Roman" w:eastAsia="方正仿宋_GBK" w:hAnsi="Times New Roman"/>
          <w:sz w:val="32"/>
          <w:szCs w:val="32"/>
        </w:rPr>
        <w:t>借鉴</w:t>
      </w:r>
      <w:r>
        <w:rPr>
          <w:rFonts w:ascii="Times New Roman" w:eastAsia="方正仿宋_GBK" w:hAnsi="Times New Roman" w:hint="eastAsia"/>
          <w:sz w:val="32"/>
          <w:szCs w:val="32"/>
        </w:rPr>
        <w:t>江苏</w:t>
      </w:r>
      <w:r>
        <w:rPr>
          <w:rFonts w:ascii="Times New Roman" w:eastAsia="方正仿宋_GBK" w:hAnsi="Times New Roman"/>
          <w:sz w:val="32"/>
          <w:szCs w:val="32"/>
        </w:rPr>
        <w:t>、</w:t>
      </w:r>
      <w:r>
        <w:rPr>
          <w:rFonts w:ascii="Times New Roman" w:eastAsia="方正仿宋_GBK" w:hAnsi="Times New Roman" w:hint="eastAsia"/>
          <w:sz w:val="32"/>
          <w:szCs w:val="32"/>
        </w:rPr>
        <w:t>山东</w:t>
      </w:r>
      <w:r>
        <w:rPr>
          <w:rFonts w:ascii="Times New Roman" w:eastAsia="方正仿宋_GBK" w:hAnsi="Times New Roman"/>
          <w:sz w:val="32"/>
          <w:szCs w:val="32"/>
        </w:rPr>
        <w:t>等</w:t>
      </w:r>
      <w:r>
        <w:rPr>
          <w:rFonts w:ascii="Times New Roman" w:eastAsia="方正仿宋_GBK" w:hAnsi="Times New Roman" w:hint="eastAsia"/>
          <w:sz w:val="32"/>
          <w:szCs w:val="32"/>
        </w:rPr>
        <w:t>省</w:t>
      </w:r>
      <w:r>
        <w:rPr>
          <w:rFonts w:ascii="Times New Roman" w:eastAsia="方正仿宋_GBK" w:hAnsi="Times New Roman"/>
          <w:sz w:val="32"/>
          <w:szCs w:val="32"/>
        </w:rPr>
        <w:t>的工作经验，</w:t>
      </w:r>
      <w:r>
        <w:rPr>
          <w:rFonts w:ascii="Times New Roman" w:eastAsia="方正仿宋_GBK" w:hAnsi="Times New Roman" w:hint="eastAsia"/>
          <w:sz w:val="32"/>
          <w:szCs w:val="32"/>
        </w:rPr>
        <w:t>了解目前全国各地制定的举报相关办法，</w:t>
      </w:r>
      <w:r>
        <w:rPr>
          <w:rFonts w:ascii="Times New Roman" w:eastAsia="方正仿宋_GBK" w:hAnsi="Times New Roman"/>
          <w:sz w:val="32"/>
          <w:szCs w:val="32"/>
        </w:rPr>
        <w:t>结合</w:t>
      </w:r>
      <w:r>
        <w:rPr>
          <w:rFonts w:ascii="Times New Roman" w:eastAsia="方正仿宋_GBK" w:hAnsi="Times New Roman" w:hint="eastAsia"/>
          <w:sz w:val="32"/>
          <w:szCs w:val="32"/>
        </w:rPr>
        <w:t>我市</w:t>
      </w:r>
      <w:r>
        <w:rPr>
          <w:rFonts w:ascii="Times New Roman" w:eastAsia="方正仿宋_GBK" w:hAnsi="Times New Roman"/>
          <w:sz w:val="32"/>
          <w:szCs w:val="32"/>
        </w:rPr>
        <w:t>当前工作实际，</w:t>
      </w:r>
      <w:r>
        <w:rPr>
          <w:rFonts w:ascii="仿宋" w:eastAsia="仿宋" w:hAnsi="仿宋" w:cs="方正仿宋_GBK" w:hint="eastAsia"/>
          <w:sz w:val="32"/>
          <w:szCs w:val="32"/>
        </w:rPr>
        <w:t>草拟了《重庆</w:t>
      </w:r>
      <w:r>
        <w:rPr>
          <w:rFonts w:ascii="仿宋" w:eastAsia="仿宋" w:hAnsi="仿宋" w:cs="方正仿宋_GBK" w:hint="eastAsia"/>
          <w:sz w:val="32"/>
          <w:szCs w:val="32"/>
        </w:rPr>
        <w:t>市涉公平竞争审查举报处理办</w:t>
      </w:r>
      <w:r>
        <w:rPr>
          <w:rFonts w:ascii="仿宋" w:eastAsia="仿宋" w:hAnsi="仿宋" w:cs="方正仿宋_GBK" w:hint="eastAsia"/>
          <w:sz w:val="32"/>
          <w:szCs w:val="32"/>
        </w:rPr>
        <w:t>法（</w:t>
      </w:r>
      <w:r>
        <w:rPr>
          <w:rFonts w:ascii="仿宋" w:eastAsia="仿宋" w:hAnsi="仿宋" w:cs="方正仿宋_GBK" w:hint="eastAsia"/>
          <w:sz w:val="32"/>
          <w:szCs w:val="32"/>
        </w:rPr>
        <w:t>征求意见稿</w:t>
      </w:r>
      <w:r>
        <w:rPr>
          <w:rFonts w:ascii="仿宋" w:eastAsia="仿宋" w:hAnsi="仿宋" w:cs="方正仿宋_GBK" w:hint="eastAsia"/>
          <w:sz w:val="32"/>
          <w:szCs w:val="32"/>
        </w:rPr>
        <w:t>）》。经与市财政局、商务委等</w:t>
      </w:r>
      <w:r>
        <w:rPr>
          <w:rFonts w:ascii="仿宋" w:eastAsia="仿宋" w:hAnsi="仿宋" w:cs="方正仿宋_GBK" w:hint="eastAsia"/>
          <w:sz w:val="32"/>
          <w:szCs w:val="32"/>
        </w:rPr>
        <w:t>28</w:t>
      </w:r>
      <w:r>
        <w:rPr>
          <w:rFonts w:ascii="仿宋" w:eastAsia="仿宋" w:hAnsi="仿宋" w:cs="方正仿宋_GBK" w:hint="eastAsia"/>
          <w:sz w:val="32"/>
          <w:szCs w:val="32"/>
        </w:rPr>
        <w:t>个</w:t>
      </w:r>
      <w:r>
        <w:rPr>
          <w:rFonts w:ascii="仿宋_GB2312" w:eastAsia="仿宋_GB2312" w:hAnsi="宋体" w:cs="仿宋_GB2312" w:hint="eastAsia"/>
          <w:color w:val="000000"/>
          <w:sz w:val="31"/>
          <w:szCs w:val="31"/>
          <w:shd w:val="clear" w:color="auto" w:fill="FFFFFF"/>
        </w:rPr>
        <w:t>公平竞争审查工作市级部门联席会</w:t>
      </w:r>
      <w:r>
        <w:rPr>
          <w:rFonts w:ascii="仿宋" w:eastAsia="仿宋" w:hAnsi="仿宋" w:cs="方正仿宋_GBK" w:hint="eastAsia"/>
          <w:sz w:val="32"/>
          <w:szCs w:val="32"/>
        </w:rPr>
        <w:t>成员单位及我局法规处、消保处反复沟通论证，</w:t>
      </w:r>
      <w:r>
        <w:rPr>
          <w:rFonts w:ascii="仿宋" w:eastAsia="仿宋" w:hAnsi="仿宋" w:cs="方正仿宋_GBK" w:hint="eastAsia"/>
          <w:sz w:val="32"/>
          <w:szCs w:val="32"/>
        </w:rPr>
        <w:t>初步形成《重庆市涉公平竞争审查举报处理办法</w:t>
      </w:r>
      <w:r>
        <w:rPr>
          <w:rFonts w:ascii="仿宋" w:eastAsia="仿宋" w:hAnsi="仿宋" w:cs="方正仿宋_GBK" w:hint="eastAsia"/>
          <w:sz w:val="32"/>
          <w:szCs w:val="32"/>
        </w:rPr>
        <w:t>(</w:t>
      </w:r>
      <w:r>
        <w:rPr>
          <w:rFonts w:ascii="仿宋" w:eastAsia="仿宋" w:hAnsi="仿宋" w:cs="方正仿宋_GBK" w:hint="eastAsia"/>
          <w:sz w:val="32"/>
          <w:szCs w:val="32"/>
        </w:rPr>
        <w:t>试行</w:t>
      </w:r>
      <w:r>
        <w:rPr>
          <w:rFonts w:ascii="仿宋" w:eastAsia="仿宋" w:hAnsi="仿宋" w:cs="方正仿宋_GBK" w:hint="eastAsia"/>
          <w:sz w:val="32"/>
          <w:szCs w:val="32"/>
        </w:rPr>
        <w:t>)</w:t>
      </w:r>
      <w:r>
        <w:rPr>
          <w:rFonts w:ascii="仿宋" w:eastAsia="仿宋" w:hAnsi="仿宋" w:cs="方正仿宋_GBK" w:hint="eastAsia"/>
          <w:sz w:val="32"/>
          <w:szCs w:val="32"/>
        </w:rPr>
        <w:t>（</w:t>
      </w:r>
      <w:r w:rsidR="003B0080">
        <w:rPr>
          <w:rFonts w:ascii="仿宋" w:eastAsia="仿宋" w:hAnsi="仿宋" w:cs="方正仿宋_GBK" w:hint="eastAsia"/>
          <w:sz w:val="32"/>
          <w:szCs w:val="32"/>
        </w:rPr>
        <w:t>征求意见稿</w:t>
      </w:r>
      <w:r>
        <w:rPr>
          <w:rFonts w:ascii="仿宋" w:eastAsia="仿宋" w:hAnsi="仿宋" w:cs="方正仿宋_GBK" w:hint="eastAsia"/>
          <w:sz w:val="32"/>
          <w:szCs w:val="32"/>
        </w:rPr>
        <w:t>）》（以下简称</w:t>
      </w:r>
      <w:r w:rsidR="003B0080">
        <w:rPr>
          <w:rFonts w:ascii="仿宋" w:eastAsia="仿宋" w:hAnsi="仿宋" w:cs="方正仿宋_GBK" w:hint="eastAsia"/>
          <w:sz w:val="32"/>
          <w:szCs w:val="32"/>
        </w:rPr>
        <w:t>《办法》</w:t>
      </w:r>
      <w:r>
        <w:rPr>
          <w:rFonts w:ascii="仿宋" w:eastAsia="仿宋" w:hAnsi="仿宋" w:cs="方正仿宋_GBK" w:hint="eastAsia"/>
          <w:sz w:val="32"/>
          <w:szCs w:val="32"/>
        </w:rPr>
        <w:t>）。</w:t>
      </w:r>
      <w:r>
        <w:rPr>
          <w:rFonts w:ascii="仿宋" w:eastAsia="仿宋" w:hAnsi="仿宋" w:cs="方正仿宋_GBK" w:hint="eastAsia"/>
          <w:sz w:val="32"/>
          <w:szCs w:val="32"/>
        </w:rPr>
        <w:t xml:space="preserve"> </w:t>
      </w:r>
    </w:p>
    <w:p w:rsidR="00A37245" w:rsidRDefault="00AC1ED2">
      <w:pPr>
        <w:adjustRightInd w:val="0"/>
        <w:snapToGrid w:val="0"/>
        <w:spacing w:line="360" w:lineRule="auto"/>
        <w:ind w:firstLineChars="200" w:firstLine="620"/>
        <w:rPr>
          <w:rFonts w:ascii="黑体" w:eastAsia="黑体" w:hAnsi="黑体" w:cs="黑体"/>
          <w:color w:val="000000"/>
          <w:sz w:val="31"/>
          <w:szCs w:val="31"/>
          <w:shd w:val="clear" w:color="auto" w:fill="FFFFFF"/>
        </w:rPr>
      </w:pPr>
      <w:r>
        <w:rPr>
          <w:rFonts w:ascii="黑体" w:eastAsia="黑体" w:hAnsi="黑体" w:cs="黑体"/>
          <w:color w:val="000000"/>
          <w:sz w:val="31"/>
          <w:szCs w:val="31"/>
          <w:shd w:val="clear" w:color="auto" w:fill="FFFFFF"/>
        </w:rPr>
        <w:t xml:space="preserve"> </w:t>
      </w:r>
      <w:r>
        <w:rPr>
          <w:rFonts w:ascii="黑体" w:eastAsia="黑体" w:hAnsi="黑体" w:cs="黑体"/>
          <w:color w:val="000000"/>
          <w:sz w:val="31"/>
          <w:szCs w:val="31"/>
          <w:shd w:val="clear" w:color="auto" w:fill="FFFFFF"/>
        </w:rPr>
        <w:t>二、主要内容</w:t>
      </w:r>
    </w:p>
    <w:p w:rsidR="00A37245" w:rsidRDefault="003B0080">
      <w:pPr>
        <w:adjustRightInd w:val="0"/>
        <w:snapToGrid w:val="0"/>
        <w:spacing w:line="360" w:lineRule="auto"/>
        <w:ind w:firstLineChars="200" w:firstLine="640"/>
        <w:rPr>
          <w:rFonts w:ascii="仿宋" w:eastAsia="仿宋" w:hAnsi="仿宋" w:cs="方正仿宋_GBK"/>
          <w:sz w:val="32"/>
          <w:szCs w:val="32"/>
        </w:rPr>
      </w:pPr>
      <w:r>
        <w:rPr>
          <w:rFonts w:ascii="仿宋" w:eastAsia="仿宋" w:hAnsi="仿宋" w:cs="方正仿宋_GBK" w:hint="eastAsia"/>
          <w:sz w:val="32"/>
          <w:szCs w:val="32"/>
        </w:rPr>
        <w:t>《办法》</w:t>
      </w:r>
      <w:r w:rsidR="00AC1ED2">
        <w:rPr>
          <w:rFonts w:ascii="仿宋" w:eastAsia="仿宋" w:hAnsi="仿宋" w:cs="方正仿宋_GBK"/>
          <w:sz w:val="32"/>
          <w:szCs w:val="32"/>
        </w:rPr>
        <w:t>共</w:t>
      </w:r>
      <w:r w:rsidR="00AC1ED2">
        <w:rPr>
          <w:rFonts w:ascii="仿宋" w:eastAsia="仿宋" w:hAnsi="仿宋" w:cs="方正仿宋_GBK" w:hint="eastAsia"/>
          <w:sz w:val="32"/>
          <w:szCs w:val="32"/>
        </w:rPr>
        <w:t>22</w:t>
      </w:r>
      <w:r w:rsidR="00AC1ED2">
        <w:rPr>
          <w:rFonts w:ascii="仿宋" w:eastAsia="仿宋" w:hAnsi="仿宋" w:cs="方正仿宋_GBK"/>
          <w:sz w:val="32"/>
          <w:szCs w:val="32"/>
        </w:rPr>
        <w:t>条，分别</w:t>
      </w:r>
      <w:bookmarkStart w:id="0" w:name="_GoBack"/>
      <w:bookmarkEnd w:id="0"/>
      <w:r w:rsidR="00AC1ED2">
        <w:rPr>
          <w:rFonts w:ascii="仿宋" w:eastAsia="仿宋" w:hAnsi="仿宋" w:cs="方正仿宋_GBK"/>
          <w:sz w:val="32"/>
          <w:szCs w:val="32"/>
        </w:rPr>
        <w:t>界定了涉公平竞争审查举报的概念，确</w:t>
      </w:r>
      <w:r w:rsidR="00AC1ED2">
        <w:rPr>
          <w:rFonts w:ascii="仿宋" w:eastAsia="仿宋" w:hAnsi="仿宋" w:cs="方正仿宋_GBK" w:hint="eastAsia"/>
          <w:sz w:val="32"/>
          <w:szCs w:val="32"/>
        </w:rPr>
        <w:t>立</w:t>
      </w:r>
      <w:r w:rsidR="00AC1ED2">
        <w:rPr>
          <w:rFonts w:ascii="仿宋" w:eastAsia="仿宋" w:hAnsi="仿宋" w:cs="方正仿宋_GBK"/>
          <w:sz w:val="32"/>
          <w:szCs w:val="32"/>
        </w:rPr>
        <w:t>了涉公平竞争审查举报受理、办理、告知</w:t>
      </w:r>
      <w:r w:rsidR="00AC1ED2">
        <w:rPr>
          <w:rFonts w:ascii="仿宋" w:eastAsia="仿宋" w:hAnsi="仿宋" w:cs="方正仿宋_GBK" w:hint="eastAsia"/>
          <w:sz w:val="32"/>
          <w:szCs w:val="32"/>
        </w:rPr>
        <w:t>、整改</w:t>
      </w:r>
      <w:r w:rsidR="00AC1ED2">
        <w:rPr>
          <w:rFonts w:ascii="仿宋" w:eastAsia="仿宋" w:hAnsi="仿宋" w:cs="方正仿宋_GBK"/>
          <w:sz w:val="32"/>
          <w:szCs w:val="32"/>
        </w:rPr>
        <w:lastRenderedPageBreak/>
        <w:t>程序，主要解决了四个方面的问题。一是畅通了举报的渠道。对政策制定机关涉嫌未进行公平竞争审查或者违反审查标准出台政策措施的，任何单位和个人可以采取当面递交、邮寄</w:t>
      </w:r>
      <w:r w:rsidR="00AC1ED2">
        <w:rPr>
          <w:rFonts w:ascii="仿宋" w:eastAsia="仿宋" w:hAnsi="仿宋" w:cs="方正仿宋_GBK" w:hint="eastAsia"/>
          <w:sz w:val="32"/>
          <w:szCs w:val="32"/>
        </w:rPr>
        <w:t>、电话</w:t>
      </w:r>
      <w:r w:rsidR="00AC1ED2">
        <w:rPr>
          <w:rFonts w:ascii="仿宋" w:eastAsia="仿宋" w:hAnsi="仿宋" w:cs="方正仿宋_GBK"/>
          <w:sz w:val="32"/>
          <w:szCs w:val="32"/>
        </w:rPr>
        <w:t>等方式举报；</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人可以实名举报，也可以匿名</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受理机关应当为</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人保密。二</w:t>
      </w:r>
      <w:r w:rsidR="00AC1ED2">
        <w:rPr>
          <w:rFonts w:ascii="仿宋" w:eastAsia="仿宋" w:hAnsi="仿宋" w:cs="方正仿宋_GBK" w:hint="eastAsia"/>
          <w:sz w:val="32"/>
          <w:szCs w:val="32"/>
        </w:rPr>
        <w:t>是</w:t>
      </w:r>
      <w:r w:rsidR="00AC1ED2">
        <w:rPr>
          <w:rFonts w:ascii="仿宋" w:eastAsia="仿宋" w:hAnsi="仿宋" w:cs="方正仿宋_GBK"/>
          <w:sz w:val="32"/>
          <w:szCs w:val="32"/>
        </w:rPr>
        <w:t>明确了</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的受理机关。</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人向政策制定机关的上级机关</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的，由上级机关负责受理；</w:t>
      </w:r>
      <w:r w:rsidR="00AC1ED2">
        <w:rPr>
          <w:rFonts w:ascii="仿宋" w:eastAsia="仿宋" w:hAnsi="仿宋" w:cs="方正仿宋_GBK" w:hint="eastAsia"/>
          <w:sz w:val="32"/>
          <w:szCs w:val="32"/>
        </w:rPr>
        <w:t>向市级或区县</w:t>
      </w:r>
      <w:r w:rsidR="00AC1ED2">
        <w:rPr>
          <w:rFonts w:ascii="仿宋" w:eastAsia="仿宋" w:hAnsi="仿宋" w:cs="方正仿宋_GBK"/>
          <w:sz w:val="32"/>
          <w:szCs w:val="32"/>
        </w:rPr>
        <w:t>联席会议办公室</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的，由政策制定机关</w:t>
      </w:r>
      <w:r w:rsidR="00AC1ED2">
        <w:rPr>
          <w:rFonts w:ascii="仿宋" w:eastAsia="仿宋" w:hAnsi="仿宋" w:cs="方正仿宋_GBK" w:hint="eastAsia"/>
          <w:sz w:val="32"/>
          <w:szCs w:val="32"/>
        </w:rPr>
        <w:t>的同级</w:t>
      </w:r>
      <w:r w:rsidR="00AC1ED2">
        <w:rPr>
          <w:rFonts w:ascii="仿宋" w:eastAsia="仿宋" w:hAnsi="仿宋" w:cs="方正仿宋_GBK"/>
          <w:sz w:val="32"/>
          <w:szCs w:val="32"/>
        </w:rPr>
        <w:t>联席会议办公室负责受理</w:t>
      </w:r>
      <w:r w:rsidR="00AC1ED2">
        <w:rPr>
          <w:rFonts w:ascii="仿宋" w:eastAsia="仿宋" w:hAnsi="仿宋" w:cs="方正仿宋_GBK" w:hint="eastAsia"/>
          <w:sz w:val="32"/>
          <w:szCs w:val="32"/>
        </w:rPr>
        <w:t>；</w:t>
      </w:r>
      <w:r w:rsidR="00AC1ED2">
        <w:rPr>
          <w:rFonts w:ascii="仿宋" w:eastAsia="仿宋" w:hAnsi="仿宋" w:cs="方正仿宋_GBK"/>
          <w:sz w:val="32"/>
          <w:szCs w:val="32"/>
        </w:rPr>
        <w:t>同时向政策制定机关的上级机关和</w:t>
      </w:r>
      <w:r w:rsidR="00AC1ED2">
        <w:rPr>
          <w:rFonts w:ascii="仿宋" w:eastAsia="仿宋" w:hAnsi="仿宋" w:cs="方正仿宋_GBK" w:hint="eastAsia"/>
          <w:sz w:val="32"/>
          <w:szCs w:val="32"/>
        </w:rPr>
        <w:t>市级或区县</w:t>
      </w:r>
      <w:r w:rsidR="00AC1ED2">
        <w:rPr>
          <w:rFonts w:ascii="仿宋" w:eastAsia="仿宋" w:hAnsi="仿宋" w:cs="方正仿宋_GBK"/>
          <w:sz w:val="32"/>
          <w:szCs w:val="32"/>
        </w:rPr>
        <w:t>联席会议办公室</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的，由上级机</w:t>
      </w:r>
      <w:r w:rsidR="00AC1ED2">
        <w:rPr>
          <w:rFonts w:ascii="仿宋" w:eastAsia="仿宋" w:hAnsi="仿宋" w:cs="方正仿宋_GBK"/>
          <w:sz w:val="32"/>
          <w:szCs w:val="32"/>
        </w:rPr>
        <w:t>关负责受理。三是规范了</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的处理程序。对</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的受理</w:t>
      </w:r>
      <w:r w:rsidR="00AC1ED2">
        <w:rPr>
          <w:rFonts w:ascii="仿宋" w:eastAsia="仿宋" w:hAnsi="仿宋" w:cs="方正仿宋_GBK" w:hint="eastAsia"/>
          <w:sz w:val="32"/>
          <w:szCs w:val="32"/>
        </w:rPr>
        <w:t>分工</w:t>
      </w:r>
      <w:r w:rsidR="00AC1ED2">
        <w:rPr>
          <w:rFonts w:ascii="仿宋" w:eastAsia="仿宋" w:hAnsi="仿宋" w:cs="方正仿宋_GBK"/>
          <w:sz w:val="32"/>
          <w:szCs w:val="32"/>
        </w:rPr>
        <w:t>、核查</w:t>
      </w:r>
      <w:r w:rsidR="00AC1ED2">
        <w:rPr>
          <w:rFonts w:ascii="仿宋" w:eastAsia="仿宋" w:hAnsi="仿宋" w:cs="方正仿宋_GBK" w:hint="eastAsia"/>
          <w:sz w:val="32"/>
          <w:szCs w:val="32"/>
        </w:rPr>
        <w:t>方式</w:t>
      </w:r>
      <w:r w:rsidR="00AC1ED2">
        <w:rPr>
          <w:rFonts w:ascii="仿宋" w:eastAsia="仿宋" w:hAnsi="仿宋" w:cs="方正仿宋_GBK"/>
          <w:sz w:val="32"/>
          <w:szCs w:val="32"/>
        </w:rPr>
        <w:t>、</w:t>
      </w:r>
      <w:r w:rsidR="00AC1ED2">
        <w:rPr>
          <w:rFonts w:ascii="仿宋" w:eastAsia="仿宋" w:hAnsi="仿宋" w:cs="方正仿宋_GBK" w:hint="eastAsia"/>
          <w:sz w:val="32"/>
          <w:szCs w:val="32"/>
        </w:rPr>
        <w:t>处理时限、处理方式、文书内容</w:t>
      </w:r>
      <w:r w:rsidR="00AC1ED2">
        <w:rPr>
          <w:rFonts w:ascii="仿宋" w:eastAsia="仿宋" w:hAnsi="仿宋" w:cs="方正仿宋_GBK"/>
          <w:sz w:val="32"/>
          <w:szCs w:val="32"/>
        </w:rPr>
        <w:t>，</w:t>
      </w:r>
      <w:r w:rsidR="00AC1ED2">
        <w:rPr>
          <w:rFonts w:ascii="仿宋" w:eastAsia="仿宋" w:hAnsi="仿宋" w:cs="方正仿宋_GBK" w:hint="eastAsia"/>
          <w:sz w:val="32"/>
          <w:szCs w:val="32"/>
        </w:rPr>
        <w:t>以及</w:t>
      </w:r>
      <w:r w:rsidR="00AC1ED2">
        <w:rPr>
          <w:rFonts w:ascii="仿宋" w:eastAsia="仿宋" w:hAnsi="仿宋" w:cs="方正仿宋_GBK"/>
          <w:sz w:val="32"/>
          <w:szCs w:val="32"/>
        </w:rPr>
        <w:t>政策制定机关的材料</w:t>
      </w:r>
      <w:r w:rsidR="00AC1ED2">
        <w:rPr>
          <w:rFonts w:ascii="仿宋" w:eastAsia="仿宋" w:hAnsi="仿宋" w:cs="方正仿宋_GBK" w:hint="eastAsia"/>
          <w:sz w:val="32"/>
          <w:szCs w:val="32"/>
        </w:rPr>
        <w:t>提交、回复</w:t>
      </w:r>
      <w:r w:rsidR="00AC1ED2">
        <w:rPr>
          <w:rFonts w:ascii="仿宋" w:eastAsia="仿宋" w:hAnsi="仿宋" w:cs="方正仿宋_GBK"/>
          <w:sz w:val="32"/>
          <w:szCs w:val="32"/>
        </w:rPr>
        <w:t>时限</w:t>
      </w:r>
      <w:r w:rsidR="00AC1ED2">
        <w:rPr>
          <w:rFonts w:ascii="仿宋" w:eastAsia="仿宋" w:hAnsi="仿宋" w:cs="方正仿宋_GBK" w:hint="eastAsia"/>
          <w:sz w:val="32"/>
          <w:szCs w:val="32"/>
        </w:rPr>
        <w:t>、整改要求</w:t>
      </w:r>
      <w:r w:rsidR="00AC1ED2">
        <w:rPr>
          <w:rFonts w:ascii="仿宋" w:eastAsia="仿宋" w:hAnsi="仿宋" w:cs="方正仿宋_GBK"/>
          <w:sz w:val="32"/>
          <w:szCs w:val="32"/>
        </w:rPr>
        <w:t>等方面进行了详细规定；对不予受理、作出处理决定、提出处理建议或终止核查后，应及时将有关情况告知实名</w:t>
      </w:r>
      <w:r w:rsidR="00AC1ED2">
        <w:rPr>
          <w:rFonts w:ascii="仿宋" w:eastAsia="仿宋" w:hAnsi="仿宋" w:cs="方正仿宋_GBK" w:hint="eastAsia"/>
          <w:sz w:val="32"/>
          <w:szCs w:val="32"/>
        </w:rPr>
        <w:t>举报</w:t>
      </w:r>
      <w:r w:rsidR="00AC1ED2">
        <w:rPr>
          <w:rFonts w:ascii="仿宋" w:eastAsia="仿宋" w:hAnsi="仿宋" w:cs="方正仿宋_GBK"/>
          <w:sz w:val="32"/>
          <w:szCs w:val="32"/>
        </w:rPr>
        <w:t>人。四是强化了</w:t>
      </w:r>
      <w:r w:rsidR="00AC1ED2">
        <w:rPr>
          <w:rFonts w:ascii="仿宋" w:eastAsia="仿宋" w:hAnsi="仿宋" w:cs="方正仿宋_GBK" w:hint="eastAsia"/>
          <w:sz w:val="32"/>
          <w:szCs w:val="32"/>
        </w:rPr>
        <w:t>执行</w:t>
      </w:r>
      <w:r w:rsidR="00AC1ED2">
        <w:rPr>
          <w:rFonts w:ascii="仿宋" w:eastAsia="仿宋" w:hAnsi="仿宋" w:cs="方正仿宋_GBK"/>
          <w:sz w:val="32"/>
          <w:szCs w:val="32"/>
        </w:rPr>
        <w:t>整改的力度。</w:t>
      </w:r>
      <w:r w:rsidR="00AC1ED2">
        <w:rPr>
          <w:rFonts w:ascii="Times New Roman" w:eastAsia="方正黑体_GBK" w:hAnsi="Times New Roman" w:hint="eastAsia"/>
          <w:sz w:val="32"/>
          <w:szCs w:val="32"/>
        </w:rPr>
        <w:t xml:space="preserve"> </w:t>
      </w:r>
      <w:r w:rsidR="00AC1ED2">
        <w:rPr>
          <w:rFonts w:ascii="仿宋" w:eastAsia="仿宋" w:hAnsi="仿宋" w:cs="方正仿宋_GBK" w:hint="eastAsia"/>
          <w:sz w:val="32"/>
          <w:szCs w:val="32"/>
        </w:rPr>
        <w:t>政策制定机关</w:t>
      </w:r>
      <w:r w:rsidR="00AC1ED2">
        <w:rPr>
          <w:rFonts w:ascii="仿宋" w:eastAsia="仿宋" w:hAnsi="仿宋" w:cs="方正仿宋_GBK"/>
          <w:sz w:val="32"/>
          <w:szCs w:val="32"/>
        </w:rPr>
        <w:t>应当自收到决定书或建议书之日起</w:t>
      </w:r>
      <w:r w:rsidR="00AC1ED2">
        <w:rPr>
          <w:rFonts w:ascii="仿宋" w:eastAsia="仿宋" w:hAnsi="仿宋" w:cs="方正仿宋_GBK"/>
          <w:sz w:val="32"/>
          <w:szCs w:val="32"/>
        </w:rPr>
        <w:t xml:space="preserve"> 30 </w:t>
      </w:r>
      <w:r w:rsidR="00AC1ED2">
        <w:rPr>
          <w:rFonts w:ascii="仿宋" w:eastAsia="仿宋" w:hAnsi="仿宋" w:cs="方正仿宋_GBK"/>
          <w:sz w:val="32"/>
          <w:szCs w:val="32"/>
        </w:rPr>
        <w:t>日内，根据相关要求进行整改</w:t>
      </w:r>
      <w:r w:rsidR="00AC1ED2">
        <w:rPr>
          <w:rFonts w:ascii="仿宋" w:eastAsia="仿宋" w:hAnsi="仿宋" w:cs="方正仿宋_GBK"/>
          <w:sz w:val="32"/>
          <w:szCs w:val="32"/>
        </w:rPr>
        <w:t>,</w:t>
      </w:r>
      <w:r w:rsidR="00AC1ED2">
        <w:rPr>
          <w:rFonts w:ascii="仿宋" w:eastAsia="仿宋" w:hAnsi="仿宋" w:cs="方正仿宋_GBK"/>
          <w:sz w:val="32"/>
          <w:szCs w:val="32"/>
        </w:rPr>
        <w:t>并将整改情况书面反馈至受理机关。对受理机关的核查，</w:t>
      </w:r>
      <w:r w:rsidR="00AC1ED2">
        <w:rPr>
          <w:rFonts w:ascii="仿宋" w:eastAsia="仿宋" w:hAnsi="仿宋" w:cs="方正仿宋_GBK" w:hint="eastAsia"/>
          <w:sz w:val="32"/>
          <w:szCs w:val="32"/>
        </w:rPr>
        <w:t>政策制定机关</w:t>
      </w:r>
      <w:r w:rsidR="00AC1ED2">
        <w:rPr>
          <w:rFonts w:ascii="仿宋" w:eastAsia="仿宋" w:hAnsi="仿宋" w:cs="方正仿宋_GBK"/>
          <w:sz w:val="32"/>
          <w:szCs w:val="32"/>
        </w:rPr>
        <w:t>拒绝提供有关材料、信息，或者提供虚假材料、信息，或者隐匿、销毁、转移证据，或者有其他拒绝、阻碍核查行为，或者拒绝整改和书面反馈整改情况的，受理机关为上级机关的，应依法依规严肃追究有关人员责任；受理机关为联席会议办公室的，可以向其上级机关、监察机关等反映情况；对</w:t>
      </w:r>
      <w:r w:rsidR="00AC1ED2">
        <w:rPr>
          <w:rFonts w:ascii="仿宋" w:eastAsia="仿宋" w:hAnsi="仿宋" w:cs="方正仿宋_GBK"/>
          <w:sz w:val="32"/>
          <w:szCs w:val="32"/>
        </w:rPr>
        <w:lastRenderedPageBreak/>
        <w:t>构成行政性垄断的，依法报送反垄断执法机构开展反垄断调查。</w:t>
      </w:r>
    </w:p>
    <w:p w:rsidR="00A37245" w:rsidRDefault="00A37245">
      <w:pPr>
        <w:adjustRightInd w:val="0"/>
        <w:snapToGrid w:val="0"/>
        <w:spacing w:line="360" w:lineRule="auto"/>
      </w:pPr>
    </w:p>
    <w:sectPr w:rsidR="00A3724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D2" w:rsidRDefault="00AC1ED2">
      <w:r>
        <w:separator/>
      </w:r>
    </w:p>
  </w:endnote>
  <w:endnote w:type="continuationSeparator" w:id="0">
    <w:p w:rsidR="00AC1ED2" w:rsidRDefault="00AC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45" w:rsidRDefault="00AC1ED2">
    <w:pPr>
      <w:pStyle w:val="a3"/>
      <w:framePr w:wrap="around" w:vAnchor="text" w:hAnchor="margin" w:xAlign="outside" w:y="1"/>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3B0080">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A37245" w:rsidRDefault="00A37245">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D2" w:rsidRDefault="00AC1ED2">
      <w:r>
        <w:separator/>
      </w:r>
    </w:p>
  </w:footnote>
  <w:footnote w:type="continuationSeparator" w:id="0">
    <w:p w:rsidR="00AC1ED2" w:rsidRDefault="00AC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45" w:rsidRDefault="00A37245">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4210C"/>
    <w:multiLevelType w:val="multilevel"/>
    <w:tmpl w:val="7BE4210C"/>
    <w:lvl w:ilvl="0">
      <w:start w:val="2020"/>
      <w:numFmt w:val="decimal"/>
      <w:pStyle w:val="1"/>
      <w:lvlText w:val="%1"/>
      <w:lvlJc w:val="left"/>
      <w:pPr>
        <w:ind w:left="0"/>
      </w:pPr>
      <w:rPr>
        <w:rFonts w:ascii="Calibri" w:eastAsia="Calibri" w:hAnsi="Calibri" w:cs="Calibri"/>
        <w:b w:val="0"/>
        <w:i w:val="0"/>
        <w:strike w:val="0"/>
        <w:dstrike w:val="0"/>
        <w:color w:val="000000"/>
        <w:sz w:val="32"/>
        <w:szCs w:val="32"/>
        <w:u w:val="none" w:color="000000"/>
        <w:shd w:val="clear" w:color="auto" w:fill="auto"/>
        <w:vertAlign w:val="baseline"/>
      </w:rPr>
    </w:lvl>
    <w:lvl w:ilvl="1">
      <w:start w:val="1"/>
      <w:numFmt w:val="lowerLetter"/>
      <w:lvlText w:val="%2"/>
      <w:lvlJc w:val="left"/>
      <w:pPr>
        <w:ind w:left="7458"/>
      </w:pPr>
      <w:rPr>
        <w:rFonts w:ascii="Calibri" w:eastAsia="Calibri" w:hAnsi="Calibri" w:cs="Calibri"/>
        <w:b w:val="0"/>
        <w:i w:val="0"/>
        <w:strike w:val="0"/>
        <w:dstrike w:val="0"/>
        <w:color w:val="000000"/>
        <w:sz w:val="32"/>
        <w:szCs w:val="32"/>
        <w:u w:val="none" w:color="000000"/>
        <w:shd w:val="clear" w:color="auto" w:fill="auto"/>
        <w:vertAlign w:val="baseline"/>
      </w:rPr>
    </w:lvl>
    <w:lvl w:ilvl="2">
      <w:start w:val="1"/>
      <w:numFmt w:val="lowerRoman"/>
      <w:lvlText w:val="%3"/>
      <w:lvlJc w:val="left"/>
      <w:pPr>
        <w:ind w:left="8178"/>
      </w:pPr>
      <w:rPr>
        <w:rFonts w:ascii="Calibri" w:eastAsia="Calibri" w:hAnsi="Calibri" w:cs="Calibri"/>
        <w:b w:val="0"/>
        <w:i w:val="0"/>
        <w:strike w:val="0"/>
        <w:dstrike w:val="0"/>
        <w:color w:val="000000"/>
        <w:sz w:val="32"/>
        <w:szCs w:val="32"/>
        <w:u w:val="none" w:color="000000"/>
        <w:shd w:val="clear" w:color="auto" w:fill="auto"/>
        <w:vertAlign w:val="baseline"/>
      </w:rPr>
    </w:lvl>
    <w:lvl w:ilvl="3">
      <w:start w:val="1"/>
      <w:numFmt w:val="decimal"/>
      <w:lvlText w:val="%4"/>
      <w:lvlJc w:val="left"/>
      <w:pPr>
        <w:ind w:left="8898"/>
      </w:pPr>
      <w:rPr>
        <w:rFonts w:ascii="Calibri" w:eastAsia="Calibri" w:hAnsi="Calibri" w:cs="Calibri"/>
        <w:b w:val="0"/>
        <w:i w:val="0"/>
        <w:strike w:val="0"/>
        <w:dstrike w:val="0"/>
        <w:color w:val="000000"/>
        <w:sz w:val="32"/>
        <w:szCs w:val="32"/>
        <w:u w:val="none" w:color="000000"/>
        <w:shd w:val="clear" w:color="auto" w:fill="auto"/>
        <w:vertAlign w:val="baseline"/>
      </w:rPr>
    </w:lvl>
    <w:lvl w:ilvl="4">
      <w:start w:val="1"/>
      <w:numFmt w:val="lowerLetter"/>
      <w:lvlText w:val="%5"/>
      <w:lvlJc w:val="left"/>
      <w:pPr>
        <w:ind w:left="9618"/>
      </w:pPr>
      <w:rPr>
        <w:rFonts w:ascii="Calibri" w:eastAsia="Calibri" w:hAnsi="Calibri" w:cs="Calibri"/>
        <w:b w:val="0"/>
        <w:i w:val="0"/>
        <w:strike w:val="0"/>
        <w:dstrike w:val="0"/>
        <w:color w:val="000000"/>
        <w:sz w:val="32"/>
        <w:szCs w:val="32"/>
        <w:u w:val="none" w:color="000000"/>
        <w:shd w:val="clear" w:color="auto" w:fill="auto"/>
        <w:vertAlign w:val="baseline"/>
      </w:rPr>
    </w:lvl>
    <w:lvl w:ilvl="5">
      <w:start w:val="1"/>
      <w:numFmt w:val="lowerRoman"/>
      <w:lvlText w:val="%6"/>
      <w:lvlJc w:val="left"/>
      <w:pPr>
        <w:ind w:left="10338"/>
      </w:pPr>
      <w:rPr>
        <w:rFonts w:ascii="Calibri" w:eastAsia="Calibri" w:hAnsi="Calibri" w:cs="Calibri"/>
        <w:b w:val="0"/>
        <w:i w:val="0"/>
        <w:strike w:val="0"/>
        <w:dstrike w:val="0"/>
        <w:color w:val="000000"/>
        <w:sz w:val="32"/>
        <w:szCs w:val="32"/>
        <w:u w:val="none" w:color="000000"/>
        <w:shd w:val="clear" w:color="auto" w:fill="auto"/>
        <w:vertAlign w:val="baseline"/>
      </w:rPr>
    </w:lvl>
    <w:lvl w:ilvl="6">
      <w:start w:val="1"/>
      <w:numFmt w:val="decimal"/>
      <w:lvlText w:val="%7"/>
      <w:lvlJc w:val="left"/>
      <w:pPr>
        <w:ind w:left="11058"/>
      </w:pPr>
      <w:rPr>
        <w:rFonts w:ascii="Calibri" w:eastAsia="Calibri" w:hAnsi="Calibri" w:cs="Calibri"/>
        <w:b w:val="0"/>
        <w:i w:val="0"/>
        <w:strike w:val="0"/>
        <w:dstrike w:val="0"/>
        <w:color w:val="000000"/>
        <w:sz w:val="32"/>
        <w:szCs w:val="32"/>
        <w:u w:val="none" w:color="000000"/>
        <w:shd w:val="clear" w:color="auto" w:fill="auto"/>
        <w:vertAlign w:val="baseline"/>
      </w:rPr>
    </w:lvl>
    <w:lvl w:ilvl="7">
      <w:start w:val="1"/>
      <w:numFmt w:val="lowerLetter"/>
      <w:lvlText w:val="%8"/>
      <w:lvlJc w:val="left"/>
      <w:pPr>
        <w:ind w:left="11778"/>
      </w:pPr>
      <w:rPr>
        <w:rFonts w:ascii="Calibri" w:eastAsia="Calibri" w:hAnsi="Calibri" w:cs="Calibri"/>
        <w:b w:val="0"/>
        <w:i w:val="0"/>
        <w:strike w:val="0"/>
        <w:dstrike w:val="0"/>
        <w:color w:val="000000"/>
        <w:sz w:val="32"/>
        <w:szCs w:val="32"/>
        <w:u w:val="none" w:color="000000"/>
        <w:shd w:val="clear" w:color="auto" w:fill="auto"/>
        <w:vertAlign w:val="baseline"/>
      </w:rPr>
    </w:lvl>
    <w:lvl w:ilvl="8">
      <w:start w:val="1"/>
      <w:numFmt w:val="lowerRoman"/>
      <w:lvlText w:val="%9"/>
      <w:lvlJc w:val="left"/>
      <w:pPr>
        <w:ind w:left="12498"/>
      </w:pPr>
      <w:rPr>
        <w:rFonts w:ascii="Calibri" w:eastAsia="Calibri" w:hAnsi="Calibri" w:cs="Calibri"/>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C29FB"/>
    <w:rsid w:val="003B0080"/>
    <w:rsid w:val="00A37245"/>
    <w:rsid w:val="00AC1ED2"/>
    <w:rsid w:val="043711FD"/>
    <w:rsid w:val="05727052"/>
    <w:rsid w:val="06F91859"/>
    <w:rsid w:val="08B737A6"/>
    <w:rsid w:val="0B95245C"/>
    <w:rsid w:val="0DCD47F8"/>
    <w:rsid w:val="11451F75"/>
    <w:rsid w:val="128B4FAC"/>
    <w:rsid w:val="1299504C"/>
    <w:rsid w:val="12B73808"/>
    <w:rsid w:val="136C3E99"/>
    <w:rsid w:val="16D3734E"/>
    <w:rsid w:val="178C3442"/>
    <w:rsid w:val="1AA318B5"/>
    <w:rsid w:val="1CDF13FE"/>
    <w:rsid w:val="21394034"/>
    <w:rsid w:val="248F7AAB"/>
    <w:rsid w:val="28C2632E"/>
    <w:rsid w:val="2C8A1D9F"/>
    <w:rsid w:val="2D812C22"/>
    <w:rsid w:val="315A78C7"/>
    <w:rsid w:val="31B01B4B"/>
    <w:rsid w:val="31C31052"/>
    <w:rsid w:val="32A65774"/>
    <w:rsid w:val="32E455DC"/>
    <w:rsid w:val="362D0368"/>
    <w:rsid w:val="382A42DD"/>
    <w:rsid w:val="383C31BB"/>
    <w:rsid w:val="389569A9"/>
    <w:rsid w:val="3BA76689"/>
    <w:rsid w:val="3C2354BD"/>
    <w:rsid w:val="40091CD4"/>
    <w:rsid w:val="43CF650B"/>
    <w:rsid w:val="473E4D53"/>
    <w:rsid w:val="476201CA"/>
    <w:rsid w:val="488E6865"/>
    <w:rsid w:val="48CD7BAC"/>
    <w:rsid w:val="499C29FB"/>
    <w:rsid w:val="4E1C481C"/>
    <w:rsid w:val="4EDC5905"/>
    <w:rsid w:val="4FE3177E"/>
    <w:rsid w:val="50A704E7"/>
    <w:rsid w:val="52872473"/>
    <w:rsid w:val="5418377E"/>
    <w:rsid w:val="569D3349"/>
    <w:rsid w:val="59225C7E"/>
    <w:rsid w:val="5C57478B"/>
    <w:rsid w:val="63EB291B"/>
    <w:rsid w:val="65995C7E"/>
    <w:rsid w:val="667C5D05"/>
    <w:rsid w:val="69D627A1"/>
    <w:rsid w:val="6A3C1B23"/>
    <w:rsid w:val="6BB20F09"/>
    <w:rsid w:val="6CAC5CBE"/>
    <w:rsid w:val="70C80CBE"/>
    <w:rsid w:val="72ED60FE"/>
    <w:rsid w:val="73467998"/>
    <w:rsid w:val="73B47C38"/>
    <w:rsid w:val="780B2EA7"/>
    <w:rsid w:val="784B4BC5"/>
    <w:rsid w:val="7A16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C6DC8"/>
  <w15:docId w15:val="{F8A4CAEA-4C4B-4474-AA8F-22E105F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keepNext/>
      <w:keepLines/>
      <w:numPr>
        <w:numId w:val="1"/>
      </w:numPr>
      <w:spacing w:line="259" w:lineRule="auto"/>
      <w:ind w:right="317"/>
      <w:outlineLvl w:val="0"/>
    </w:pPr>
    <w:rPr>
      <w:rFonts w:eastAsia="Times New Roman"/>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FollowedHyperlink"/>
    <w:basedOn w:val="a0"/>
    <w:qFormat/>
    <w:rPr>
      <w:color w:val="800080"/>
      <w:u w:val="single"/>
    </w:rPr>
  </w:style>
  <w:style w:type="character" w:styleId="a9">
    <w:name w:val="Hyperlink"/>
    <w:basedOn w:val="a0"/>
    <w:qFormat/>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Words>
  <Characters>933</Characters>
  <Application>Microsoft Office Word</Application>
  <DocSecurity>0</DocSecurity>
  <Lines>7</Lines>
  <Paragraphs>2</Paragraphs>
  <ScaleCrop>false</ScaleCrop>
  <Company>ITSK.com</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2</cp:revision>
  <cp:lastPrinted>2021-02-01T08:15:00Z</cp:lastPrinted>
  <dcterms:created xsi:type="dcterms:W3CDTF">2021-01-07T08:32:00Z</dcterms:created>
  <dcterms:modified xsi:type="dcterms:W3CDTF">2021-12-02T09:28:00Z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