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  <w:bookmarkStart w:id="1" w:name="fh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  <w:bookmarkStart w:id="2" w:name="hj"/>
      <w:bookmarkStart w:id="3" w:name="mj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  <w:bookmarkStart w:id="4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type="#_x0000_t1" id="组合 7" o:spid="_x0000_s7" coordorigin="1587,4018" coordsize="8820,2812" style="position:absolute;margin-left:0.0pt;margin-top:31.050003pt;width:441.0pt;height:140.60004pt;z-index:16;mso-position-horizontal:absolute;mso-position-vertical:absolute;mso-wrap-distance-left:8.999863pt;mso-wrap-distance-right:8.999863pt;">
            <v:shape type="#_x0000_t136" id="艺术字 8" o:spid="_x0000_s8" style="position:absolute;left:1815;top:4018;width:8277;height:1077;" fillcolor="#FF0000" stroked="t" strokecolor="#FF0000" adj="10800">
              <v:textpath style="font-family:&quot;方正小标宋_GBK&quot;;font-size:40pt;" trim="t" fitpath="t" string="重庆市渝中区人民政府办公室文件"/>
              <v:stroke color="#FF0000"/>
            </v:shape>
            <v:line type="#_x0000_t20" id="直线 9" o:spid="_x0000_s9" style="position:absolute;" from="1587.0,6829.0015" to="10407.0,6830.001" filled="f" stroked="t" strokeweight="2.0pt">
              <v:stroke color="#FF0000"/>
            </v:line>
          </v:group>
        </w:pict>
      </w:r>
      <w:bookmarkEnd w:id="4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left"/>
        <w:textAlignment w:val="auto"/>
        <w:outlineLvl w:val="9"/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 w:hint="eastAsia"/>
          <w:color w:val="000000"/>
          <w:spacing w:val="0"/>
          <w:sz w:val="32"/>
          <w:szCs w:val="32"/>
          <w:lang w:val="en-US" w:eastAsia="zh-CN"/>
        </w:rPr>
      </w:pPr>
      <w:bookmarkStart w:id="5" w:name="fwz"/>
      <w:bookmarkStart w:id="6" w:name="nd"/>
      <w:bookmarkStart w:id="7" w:name="bh"/>
      <w:bookmarkEnd w:id="5"/>
      <w:bookmarkEnd w:id="6"/>
      <w:bookmarkEnd w:id="7"/>
      <w:r>
        <w:rPr>
          <w:rFonts w:ascii="Times New Roman" w:eastAsia="方正仿宋_GBK" w:cs="Times New Roman" w:hAnsi="Times New Roman"/>
          <w:color w:val="000000"/>
          <w:spacing w:val="0"/>
          <w:sz w:val="32"/>
          <w:szCs w:val="32"/>
          <w:lang w:val="en-US" w:eastAsia="zh-CN"/>
        </w:rPr>
        <w:t>渝中府办〔2024〕</w:t>
      </w:r>
      <w:r>
        <w:rPr>
          <w:rFonts w:ascii="Times New Roman" w:eastAsia="方正仿宋_GBK" w:cs="Times New Roman" w:hAnsi="Times New Roman" w:hint="eastAsia"/>
          <w:color w:val="000000"/>
          <w:spacing w:val="0"/>
          <w:sz w:val="32"/>
          <w:szCs w:val="32"/>
          <w:lang w:val="en-US" w:eastAsia="zh-CN"/>
        </w:rPr>
        <w:t>80</w:t>
      </w:r>
      <w:r>
        <w:rPr>
          <w:rFonts w:ascii="Times New Roman" w:eastAsia="方正仿宋_GBK" w:cs="Times New Roman" w:hAnsi="Times New Roman"/>
          <w:color w:val="000000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right="0" w:firstLine="0"/>
        <w:jc w:val="center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/>
        <w:jc w:val="center"/>
        <w:textAlignment w:val="auto"/>
        <w:outlineLvl w:val="9"/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/>
        <w:jc w:val="center"/>
        <w:textAlignment w:val="auto"/>
        <w:outlineLvl w:val="9"/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关于印发《渝中区知识产权资助及奖励办法（试行）》的通知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left="0" w:right="0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left="0" w:right="0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left="0" w:right="0" w:firstLineChars="200" w:firstLine="640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《渝中区知识产权资助及奖励办法（试行）》已经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第十四届人民政府第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一百零三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次常务会议审议通过，现印发给你们，请认真贯彻执行。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right="0"/>
        <w:jc w:val="left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right="0"/>
        <w:jc w:val="left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right="0" w:firstLineChars="1300" w:firstLine="416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firstLineChars="1569" w:firstLine="5021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4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月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left"/>
        <w:textAlignment w:val="auto"/>
        <w:rPr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（此件公开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发布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0"/>
        <w:jc w:val="center"/>
        <w:textAlignment w:val="auto"/>
        <w:outlineLvl w:val="9"/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渝中区知识产权资助及奖励办法（试行）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420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第一条</w:t>
      </w: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为进一步促进渝中区产业结构优化和经济发展方式转变，提高知识产权质量，实现全区创新驱动和可持续发展，根据有关法律法规，结合渝中区实际，遵循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诚信申请、授权优先、部分资助、促进运用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的原则，制定本办法。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198" w:firstLine="634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第二条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渝中区的企业、事业单位、社会团体、其他组织（以下统称单位）以及自然人（以下称个人），可依据本办法规定申报知识产权方面的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资助和奖励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第三条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本办法相关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  <w:t>资助和奖励范围：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  <w:t>（一）单位和个人获得国家知识产权局授权的发明专利，单位和个人通过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PCT渠道获得国外授权的专利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zh-CN"/>
        </w:rPr>
        <w:t>（二）获得中国专利奖的单位。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0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（三）重庆市级知识产权优势企业；国家级知识产权示范、优势企业。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190" w:firstLine="608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（四）推行企事业单位知识产权管理规范国家标准（简称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贯标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）且通过第三方认证的相关单位。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190" w:firstLine="608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（五）获得驰名商标、马德里商标国际注册的商标权利人。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190" w:firstLine="608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（六）获得国家级知识产权服务品牌的服务机构。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190" w:firstLine="608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第四条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资助和奖励额度：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（一）相关单位及个人发明专利申请获得国内授权后资助2000元/件。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231" w:firstLine="739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（二）相关单位及个人通过PCT专利申请渠道获得美国、欧盟和日本专利授权的资助20000元/件，获得其他国家专利授权的资助10000元/件。每件PCT专利最多资助在3个国家获得的授权。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（三）对新认定为国家级知识产权示范企业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国家级知识产权优势企业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重庆市级优势企业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分别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一次性给予20万元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10万元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5万元奖励。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（四）对获得中国专利金奖、银奖和优秀奖的单位，每件分别奖励30万元、20万元、10万元。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（五）对获得驰名商标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认定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、马德里商标国际注册的市场主体给予奖励或补助。对驰名商标一次性奖励50万元/件，对马德里商标国际注册奖励1万元/件（同一商标权利人国际商标注册奖励最高不超过6万元）。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（六）推行企事业单位知识产权管理规范国家标准（简称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“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贯标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”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）且通过第三方认证的相关单位一次性奖励5万元。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（七）对专利执行（侵权）保险给予每一单保险保费50%的补贴，每一单补贴最高不超过5万元。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（八）对获得国家级知识产权服务品牌的服务机构，一次性奖励10万元。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第五条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渝中区市场监督管理局负责对符合条件的商标、专利的资助和奖励申请进行受理、审核和经费发放。每年发放上一年度的商标、专利资助和奖励，申报人提交相关申请材料，渝中区市场监督管理局审核并报渝中区政府审批后，拨付资助和奖励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第六条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对于弄虚作假、恶意套取资助奖励资金的申请人，限期收回已拨付资助奖励资金；对涉及的相关单位、代理机构和人员，将记入诚信档案不良记录；情节严重的，依法追究其相应法律责任。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right="0" w:firstLineChars="200" w:firstLine="64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第七条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本办法自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公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布之日起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施行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原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《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重庆市渝中区人民政府办公室关于印发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渝中区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知识产权资助及奖励办法（试行）的通知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》（渝中府办〔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2020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ind w:left="0" w:right="0"/>
        <w:jc w:val="both"/>
        <w:textAlignment w:val="auto"/>
        <w:outlineLvl w:val="9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50" w:lineRule="exac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</w:p>
    <w:p>
      <w:pPr>
        <w:spacing w:line="620" w:lineRule="exact"/>
        <w:ind w:firstLineChars="50" w:firstLine="140"/>
        <w:jc w:val="left"/>
        <w:rPr>
          <w:rFonts w:ascii="Times New Roman" w:eastAsia="方正仿宋_GBK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color w:val="000000"/>
          <w:sz w:val="28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5507990" cy="952"/>
                <wp:effectExtent l="0" t="0" r="0" b="0"/>
                <wp:wrapNone/>
                <wp:docPr id="10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0799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11" o:spid="_x0000_s11" from="0.1pt,3.85pt" to="433.80005pt,3.9249988pt" filled="f" stroked="t" style="position:absolute;z-index:14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  <w:r>
        <w:rPr>
          <w:rFonts w:ascii="Times New Roman" w:cs="Times New Roman" w:hAnsi="Times New Roman"/>
          <w:color w:val="000000"/>
          <w:sz w:val="28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404495</wp:posOffset>
                </wp:positionV>
                <wp:extent cx="5507990" cy="952"/>
                <wp:effectExtent l="0" t="0" r="0" b="0"/>
                <wp:wrapNone/>
                <wp:docPr id="12" name="直接连接符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0799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6 13" o:spid="_x0000_s13" from="0.85pt,31.850002pt" to="434.55005pt,31.925pt" filled="f" stroked="t" style="position:absolute;z-index:15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  <w:r>
        <w:rPr>
          <w:rFonts w:ascii="Times New Roman" w:eastAsia="方正仿宋_GBK" w:cs="Times New Roman" w:hAnsi="Times New Roman"/>
          <w:color w:val="000000"/>
          <w:sz w:val="28"/>
          <w:szCs w:val="28"/>
        </w:rPr>
        <w:t xml:space="preserve">重庆市渝中区人民政府办公室         </w:t>
      </w:r>
      <w:r>
        <w:rPr>
          <w:rFonts w:ascii="Times New Roman" w:eastAsia="方正仿宋_GBK" w:cs="Times New Roman" w:hAnsi="Times New Roman"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方正仿宋_GBK" w:cs="Times New Roman" w:hAnsi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eastAsia="方正仿宋_GBK" w:cs="Times New Roman" w:hAnsi="Times New Roman"/>
          <w:color w:val="000000"/>
          <w:sz w:val="28"/>
          <w:szCs w:val="28"/>
        </w:rPr>
        <w:t>年</w:t>
      </w:r>
      <w:r>
        <w:rPr>
          <w:rFonts w:ascii="Times New Roman" w:eastAsia="方正仿宋_GBK" w:cs="Times New Roman" w:hAnsi="Times New Roman" w:hint="eastAsia"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eastAsia="方正仿宋_GBK" w:cs="Times New Roman" w:hAnsi="Times New Roman"/>
          <w:color w:val="000000"/>
          <w:sz w:val="28"/>
          <w:szCs w:val="28"/>
        </w:rPr>
        <w:t>月</w:t>
      </w:r>
      <w:r>
        <w:rPr>
          <w:rFonts w:ascii="Times New Roman" w:eastAsia="方正仿宋_GBK" w:cs="Times New Roman" w:hAnsi="Times New Roman" w:hint="eastAsia"/>
          <w:color w:val="000000"/>
          <w:sz w:val="28"/>
          <w:szCs w:val="28"/>
          <w:lang w:val="en-US" w:eastAsia="zh-CN"/>
        </w:rPr>
        <w:t>20</w:t>
      </w:r>
      <w:r>
        <w:rPr>
          <w:rFonts w:ascii="Times New Roman" w:eastAsia="方正仿宋_GBK" w:cs="Times New Roman" w:hAnsi="Times New Roman"/>
          <w:color w:val="000000"/>
          <w:sz w:val="28"/>
          <w:szCs w:val="28"/>
        </w:rPr>
        <w:t>日印发</w:t>
      </w:r>
    </w:p>
    <w:sectPr>
      <w:headerReference w:type="default" r:id="rId2"/>
      <w:footerReference w:type="default" r:id="rId3"/>
      <w:footerReference w:type="even" r:id="rId4"/>
      <w:pgSz w:w="11906" w:h="16838"/>
      <w:pgMar w:top="1417" w:right="1587" w:bottom="1417" w:left="1587" w:header="851" w:footer="992" w:gutter="0"/>
      <w:pgNumType w:chapStyle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bidi w:val="0"/>
      <w:adjustRightInd/>
      <w:snapToGrid w:val="0"/>
      <w:spacing w:line="0" w:lineRule="atLeast"/>
      <w:jc w:val="both"/>
      <w:textAlignment w:val="auto"/>
      <w:rPr>
        <w:rFonts w:eastAsia="宋体"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margin">
                <wp:posOffset>4566920</wp:posOffset>
              </wp:positionH>
              <wp:positionV relativeFrom="paragraph">
                <wp:posOffset>-142875</wp:posOffset>
              </wp:positionV>
              <wp:extent cx="977900" cy="27622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77900" cy="276225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0" w:lineRule="atLeast"/>
                            <w:ind w:firstLineChars="100" w:firstLine="280"/>
                            <w:textAlignment w:val="auto"/>
                            <w:rPr>
                              <w:rFonts w:eastAsia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仿宋_GBK" w:eastAsia="方正仿宋_GBK" w:cs="方正仿宋_GBK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cs="方正仿宋_GBK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359.6pt;margin-top:-11.25pt;width:77.00001pt;height:21.75pt;z-index:17;mso-position-horizontal:absolute;mso-position-horizontal-relative:margin;mso-position-vertical:absolute;mso-wrap-distance-left:8.999863pt;mso-wrap-distance-right:8.999863pt;mso-wrap-style:square;">
              <v:stroke color="#000000"/>
              <v:textbox id="849" inset="0mm,0mm,0mm,0mm" o:insetmode="custom" style="layout-flow:horizontal;v-text-anchor:top;">
                <w:txbxContent>
                  <w:p>
                    <w:pPr>
                      <w:pStyle w:val="20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0" w:lineRule="atLeast"/>
                      <w:ind w:firstLineChars="100" w:firstLine="280"/>
                      <w:textAlignment w:val="auto"/>
                      <w:rPr>
                        <w:rFonts w:eastAsia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仿宋_GBK" w:eastAsia="方正仿宋_GBK" w:cs="方正仿宋_GBK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方正仿宋_GBK" w:eastAsia="方正仿宋_GBK" w:cs="方正仿宋_GBK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bidi w:val="0"/>
      <w:adjustRightInd/>
      <w:snapToGrid w:val="0"/>
      <w:spacing w:line="0" w:lineRule="atLeast"/>
      <w:textAlignment w:val="auto"/>
    </w:pPr>
    <w:r>
      <w:rPr>
        <w:sz w:val="18"/>
      </w:rP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-132714</wp:posOffset>
              </wp:positionV>
              <wp:extent cx="1387475" cy="285750"/>
              <wp:effectExtent l="0" t="0" r="0" b="0"/>
              <wp:wrapNone/>
              <wp:docPr id="4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387475" cy="28575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0" w:lineRule="atLeast"/>
                            <w:ind w:firstLineChars="100" w:firstLine="28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cs="方正仿宋_GBK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cs="方正仿宋_GBK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cs="方正仿宋_GBK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6" o:spid="_x0000_s6" filled="f" stroked="f" strokeweight="0.5pt" style="position:absolute;margin-left:0.0pt;margin-top:-10.45pt;width:109.25pt;height:22.5pt;z-index:18;mso-position-horizontal:absolute;mso-position-horizontal-relative:margin;mso-position-vertical:absolute;mso-wrap-distance-left:8.999863pt;mso-wrap-distance-right:8.999863pt;mso-wrap-style:square;">
              <v:stroke color="#000000"/>
              <v:textbox id="848" inset="0mm,0mm,0mm,0mm" o:insetmode="custom" style="layout-flow:horizontal;v-text-anchor:top;">
                <w:txbxContent>
                  <w:p>
                    <w:pPr>
                      <w:pStyle w:val="20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0" w:lineRule="atLeast"/>
                      <w:ind w:firstLineChars="100" w:firstLine="28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cs="方正仿宋_GBK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方正仿宋_GBK" w:eastAsia="方正仿宋_GBK" w:cs="方正仿宋_GBK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方正仿宋_GBK" w:eastAsia="方正仿宋_GBK" w:cs="方正仿宋_GBK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"/>
      <w:pBdr>
        <w:bottom w:val="none" w:sz="0" w:space="0" w:color="auto"/>
      </w:pBdr>
      <w:tabs>
        <w:tab w:val="center" w:pos="4153"/>
        <w:tab w:val="right" w:pos="8306"/>
      </w:tabs>
      <w:ind w:firstLine="0"/>
      <w:jc w:val="both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evenAndOddHeaders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YTNjZmZkNjQ1NzQ3ZmE2Nzk3NzNmNjAzZTExNDMwMz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widowControl w:val="0"/>
      <w:spacing w:line="560" w:lineRule="exact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Message Header"/>
    <w:basedOn w:val="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cs="Cambria" w:hAnsi="Cambria"/>
      <w:sz w:val="24"/>
      <w:szCs w:val="24"/>
    </w:rPr>
  </w:style>
  <w:style w:type="paragraph" w:styleId="16">
    <w:name w:val="annotation text"/>
    <w:basedOn w:val="0"/>
    <w:pPr>
      <w:jc w:val="left"/>
    </w:pPr>
  </w:style>
  <w:style w:type="paragraph" w:styleId="17">
    <w:name w:val="Body Text"/>
    <w:basedOn w:val="0"/>
    <w:next w:val="0"/>
    <w:pPr>
      <w:spacing w:after="120"/>
    </w:pPr>
    <w:rPr>
      <w:rFonts w:ascii="Calibri" w:hAnsi="Calibri"/>
    </w:rPr>
  </w:style>
  <w:style w:type="paragraph" w:styleId="18">
    <w:name w:val="Body Text Indent"/>
    <w:basedOn w:val="0"/>
    <w:pPr>
      <w:spacing w:after="120"/>
      <w:ind w:leftChars="200" w:left="200"/>
    </w:pPr>
  </w:style>
  <w:style w:type="paragraph" w:styleId="19">
    <w:name w:val="Balloon Text"/>
    <w:basedOn w:val="0"/>
    <w:pPr>
      <w:spacing w:line="240" w:lineRule="auto"/>
    </w:pPr>
    <w:rPr>
      <w:sz w:val="18"/>
      <w:szCs w:val="18"/>
    </w:rPr>
  </w:style>
  <w:style w:type="paragraph" w:styleId="20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index heading"/>
    <w:basedOn w:val="0"/>
    <w:autoRedefine/>
    <w:next w:val="23"/>
    <w:rPr>
      <w:rFonts w:ascii="Cambria" w:eastAsia="宋体" w:cs="Times New Roman" w:hAnsi="Cambria"/>
      <w:b/>
      <w:bCs/>
      <w:lang w:bidi="ar-SA"/>
    </w:rPr>
  </w:style>
  <w:style w:type="paragraph" w:styleId="23">
    <w:name w:val="index 1"/>
    <w:basedOn w:val="0"/>
    <w:autoRedefine/>
    <w:next w:val="0"/>
  </w:style>
  <w:style w:type="paragraph" w:styleId="24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25">
    <w:name w:val="Title"/>
    <w:basedOn w:val="0"/>
    <w:next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26">
    <w:name w:val="Body Text First Indent"/>
    <w:basedOn w:val="17"/>
    <w:next w:val="0"/>
    <w:pPr>
      <w:ind w:firstLineChars="100" w:firstLine="100"/>
    </w:pPr>
    <w:rPr>
      <w:rFonts w:ascii="Calibri" w:eastAsia="宋体" w:cs="Times New Roman" w:hAnsi="Calibri"/>
      <w:szCs w:val="24"/>
    </w:rPr>
  </w:style>
  <w:style w:type="paragraph" w:styleId="27">
    <w:name w:val="Body Text First Indent 2"/>
    <w:basedOn w:val="18"/>
    <w:pPr>
      <w:adjustRightInd w:val="0"/>
      <w:spacing w:line="312" w:lineRule="atLeast"/>
      <w:ind w:firstLineChars="200" w:firstLine="200"/>
      <w:textAlignment w:val="baseline"/>
    </w:pPr>
    <w:rPr>
      <w:sz w:val="32"/>
      <w:szCs w:val="32"/>
    </w:rPr>
  </w:style>
  <w:style w:type="character" w:styleId="28">
    <w:name w:val="Strong"/>
    <w:basedOn w:val="10"/>
    <w:rPr>
      <w:b/>
      <w:bCs/>
    </w:rPr>
  </w:style>
  <w:style w:type="paragraph" w:customStyle="1" w:styleId="29">
    <w:name w:val="BodyText2"/>
    <w:basedOn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paragraph" w:customStyle="1" w:styleId="30">
    <w:name w:val="p0"/>
    <w:basedOn w:val="0"/>
    <w:pPr>
      <w:widowControl/>
    </w:pPr>
    <w:rPr>
      <w:rFonts w:ascii="Calibri" w:eastAsia="宋体" w:cs="宋体" w:hAnsi="Calibri"/>
      <w:kern w:val="0"/>
      <w:szCs w:val="32"/>
    </w:rPr>
  </w:style>
  <w:style w:type="paragraph" w:customStyle="1" w:styleId="31">
    <w:name w:val="样式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2">
    <w:name w:val="二级标题"/>
    <w:next w:val="22"/>
    <w:pPr>
      <w:widowControl w:val="0"/>
      <w:spacing w:line="600" w:lineRule="exact"/>
      <w:ind w:firstLineChars="200" w:firstLine="200"/>
      <w:jc w:val="both"/>
    </w:pPr>
    <w:rPr>
      <w:rFonts w:ascii="楷体_GB2312" w:eastAsia="楷体_GB2312" w:cs="Times New Roman"/>
      <w:sz w:val="32"/>
      <w:szCs w:val="32"/>
      <w:lang w:val="en-US" w:eastAsia="zh-CN" w:bidi="ar-SA"/>
    </w:rPr>
  </w:style>
  <w:style w:type="paragraph" w:customStyle="1" w:styleId="33">
    <w:name w:val="Default"/>
    <w:pPr>
      <w:widowControl w:val="0"/>
      <w:autoSpaceDE w:val="0"/>
      <w:autoSpaceDN w:val="0"/>
      <w:adjustRightInd w:val="0"/>
    </w:pPr>
    <w:rPr>
      <w:rFonts w:ascii="Calibri" w:eastAsia="宋体" w:cs="Times New Roman" w:hAnsi="Calibri"/>
      <w:color w:val="000000"/>
      <w:sz w:val="24"/>
      <w:szCs w:val="24"/>
      <w:lang w:val="en-US" w:eastAsia="zh-CN" w:bidi="ar-SA"/>
    </w:rPr>
  </w:style>
  <w:style w:type="character" w:customStyle="1" w:styleId="34">
    <w:name w:val="font201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5">
    <w:name w:val="font141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6">
    <w:name w:val="font71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7">
    <w:name w:val="font13"/>
    <w:rPr>
      <w:rFonts w:ascii="Times New Roman" w:cs="Times New Roman" w:hAnsi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5</Pages>
  <Words>1282</Words>
  <Characters>1325</Characters>
  <Lines>90</Lines>
  <Paragraphs>32</Paragraphs>
  <CharactersWithSpaces>1354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监督管理局收发人员</cp:lastModifiedBy>
  <cp:revision>2</cp:revision>
  <cp:lastPrinted>2024-12-18T08:19:00Z</cp:lastPrinted>
  <dcterms:created xsi:type="dcterms:W3CDTF">2021-11-12T06:18:00Z</dcterms:created>
  <dcterms:modified xsi:type="dcterms:W3CDTF">2024-12-20T08:12:42Z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2052-12.1.0.16412</vt:lpwstr>
  </property>
  <property fmtid="{D5CDD505-2E9C-101B-9397-08002B2CF9AE}" pid="3" name="ICV">
    <vt:lpwstr>0CEA39DFBFE8402FB3822FC1DCE6C2ED_13</vt:lpwstr>
  </property>
</Properties>
</file>