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重庆市渝中区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20" w:lineRule="atLeast"/>
        <w:ind w:left="0" w:leftChars="0" w:right="0" w:righ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44"/>
          <w:szCs w:val="44"/>
        </w:rPr>
      </w:pP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撤销重庆萱阳琴筱商贸有限公司法定代表人、股东、执行董事兼总经理刘洋璇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经营主体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"/>
        </w:rPr>
        <w:t>登记（备案）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事项决定书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Times New Roman" w:hAnsi="Times New Roman" w:eastAsia="方正楷体_GBK" w:cs="方正楷体_GBK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重庆市渝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中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监企撤〔202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eastAsia="方正楷体_GBK" w:cs="方正楷体_GBK"/>
          <w:kern w:val="2"/>
          <w:sz w:val="32"/>
          <w:szCs w:val="32"/>
          <w:lang w:val="en-US" w:eastAsia="zh-CN" w:bidi="ar"/>
        </w:rPr>
        <w:t>014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号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被许可人：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重庆萱阳琴筱商贸有限公司（吊销）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营业执照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91500103MA5U707KXQ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住所：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重庆市渝中区大黄路28号附1号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刘洋璇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身份证号码：50038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00046 联系电话：133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78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联系地址：重庆市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*****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10号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申请人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刘洋璇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向我局提出申请，称身份信息被他人冒用注册成为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重庆萱阳琴筱商贸有限公司法定代表人、股东、执行董事兼总经理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，要求撤销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该公司法定代表人、股东、执行董事兼总经理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登记，并提供了本人身份证复印件、撤销登记申请表、承诺书、报警记录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、笔迹司法鉴定意见书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《中华人民共和国行政处罚法》、《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中华人民共和国行政许可法》、《中华人民共和国市场主体登记管理条例》、《中华人民共和国市场主体登记管理条例实施细则》、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《市场监督管理行政许可程序暂行规定》、《防范和查处假冒企业登记违法行为规定》等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规定，我局出具了受理通知书，履行了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现场核查、立案调查、对外公示、一案一审会商工作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none"/>
          <w:lang w:val="en-US" w:eastAsia="zh-CN" w:bidi="ar"/>
        </w:rPr>
        <w:t>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等相关执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法程序。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查，刘洋璇对被担任重庆萱阳琴筱商贸有限公司法定代表人、股东、执行董事兼总经理不知情，2025年2月7日，执法人员通过电话、邮件等方式均无法与该公司股东黄晓琴取得联系，邮件发出的询问通知书1份（邮件编号：XA40239185250）邮件被退回。根据重庆法正司法鉴定所出具的笔迹司法鉴定意见书（渝法正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[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]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文痕鉴字第15号）显示，该公司法定代表人签字不是出自刘洋璇的笔迹，刘洋璇也向我局提交了派出所开具的报警证明。执法人员实施了现场检查，注册地址查无此企业。通过“重庆市智慧市场监管一体化平台”查询结果显示，该公司无股权出质、股权冻结以及被有关部门依法采取限制登记措施的记录。通过“中国裁判文书网”查询结果显示，该公司无诉讼案件、失信执行的生效判决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我局认为：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刘洋璇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身份信息被他人冒用被注册成为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重庆萱阳琴筱商贸有限公司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法定代表人、股东、执行董事兼总经理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情况属实。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上述事实，主要有以下证据证明：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刘洋璇的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询问笔录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身份证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、报警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>笔迹司法鉴定意见书。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是经营场所现场检查记录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是股权出质、股权冻结以及被有关部门依法采取限制登记措施的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查询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记录。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26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日，本局通过公告送达方式向当事人及利害关系人送达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《拟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撤销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重庆萱阳琴筱商贸有限公司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法定代表人、股东、执行董事兼总经理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刘洋璇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经营主体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登记（备案）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公告》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，当事人及利害关系人在法定期限内未提出陈述、申辩及听证要求。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综合现有证据材料，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根据《中华人民共和国行政许可法》第六十九条第二款：“被许可人以欺骗、贿赂等不正当手段取得行政许可的，应当予以撤销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u w:val="none"/>
          <w:lang w:val="en-US" w:eastAsia="zh-CN" w:bidi="ar"/>
        </w:rPr>
        <w:t xml:space="preserve"> 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”根据《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中华人民共和国市场主体登记管理条例实施细则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u w:val="none"/>
          <w:lang w:val="en-US" w:eastAsia="zh-CN" w:bidi="ar"/>
        </w:rPr>
        <w:t>》第五十五条：“撤销市场主体登记后无法恢复到登记前的状态”的规定，决定：</w:t>
      </w:r>
      <w:r>
        <w:rPr>
          <w:rFonts w:hint="eastAsia" w:ascii="Times New Roman" w:hAnsi="Times New Roman" w:eastAsia="方正仿宋_GBK" w:cs="仿宋_GB2312"/>
          <w:color w:val="000000"/>
          <w:kern w:val="2"/>
          <w:sz w:val="32"/>
          <w:szCs w:val="32"/>
          <w:u w:val="none"/>
          <w:lang w:val="en-US" w:eastAsia="zh-CN" w:bidi="ar"/>
        </w:rPr>
        <w:t>撤销重庆萱阳琴筱商贸有限公司法定代表人、股东、执行董事兼总经理刘洋璇经营主体登记（备案）事项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如对本决定不服，可在收到本决定之日起60日内向重庆市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人民政府申请行政复议，也可在收到本决定书之日起六个月内依法向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人民法院提起行政诉讼。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right="0" w:rightChars="0"/>
        <w:jc w:val="right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重庆市渝中区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 w:eastAsia="方正仿宋_GBK" w:cs="方正仿宋_GBK"/>
          <w:b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    202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14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right="0" w:rightChars="0"/>
        <w:jc w:val="left"/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/>
          <w:kern w:val="2"/>
          <w:sz w:val="32"/>
          <w:szCs w:val="32"/>
          <w:lang w:val="en-US" w:eastAsia="zh-CN" w:bidi="ar"/>
        </w:rPr>
        <w:t>（市场监督管理部门将依法向社会公示本撤销决定信息）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beforeAutospacing="0" w:afterLines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13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1"/>
          <w:szCs w:val="21"/>
          <w:lang w:val="en-US" w:eastAsia="zh-CN" w:bidi="ar"/>
        </w:rPr>
        <w:t>本文书一式</w:t>
      </w:r>
      <w:r>
        <w:rPr>
          <w:rFonts w:hint="eastAsia" w:ascii="方正仿宋_GBK" w:hAnsi="方正仿宋_GBK" w:cs="方正仿宋_GBK"/>
          <w:b w:val="0"/>
          <w:bCs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份，</w:t>
      </w:r>
      <w:r>
        <w:rPr>
          <w:rFonts w:hint="eastAsia" w:ascii="方正仿宋_GBK" w:hAnsi="方正仿宋_GBK" w:cs="方正仿宋_GBK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份送达，</w:t>
      </w:r>
      <w:r>
        <w:rPr>
          <w:rFonts w:hint="eastAsia" w:ascii="方正仿宋_GBK" w:hAnsi="方正仿宋_GBK" w:cs="方正仿宋_GBK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1"/>
          <w:szCs w:val="21"/>
          <w:lang w:val="en-US" w:eastAsia="zh-CN" w:bidi="ar"/>
        </w:rPr>
        <w:t>份归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档，1份送税务部门，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份送注册许可机构，1份送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1"/>
          <w:szCs w:val="21"/>
          <w:lang w:val="en-US" w:eastAsia="zh-CN" w:bidi="ar"/>
        </w:rPr>
        <w:t>信用监管机构</w:t>
      </w:r>
      <w:r>
        <w:rPr>
          <w:rFonts w:hint="eastAsia" w:ascii="Times New Roman" w:hAnsi="Times New Roman" w:eastAsia="方正仿宋_GBK" w:cs="方正仿宋_GBK"/>
          <w:kern w:val="2"/>
          <w:sz w:val="21"/>
          <w:szCs w:val="21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6D99"/>
    <w:rsid w:val="0AA62095"/>
    <w:rsid w:val="0C981CD1"/>
    <w:rsid w:val="0FE70963"/>
    <w:rsid w:val="10E62CE6"/>
    <w:rsid w:val="177D1AD1"/>
    <w:rsid w:val="17950746"/>
    <w:rsid w:val="1FC93FD1"/>
    <w:rsid w:val="261A390A"/>
    <w:rsid w:val="2B243F40"/>
    <w:rsid w:val="2DB650C8"/>
    <w:rsid w:val="2FED470E"/>
    <w:rsid w:val="318A72A4"/>
    <w:rsid w:val="39BF2FBE"/>
    <w:rsid w:val="439F6997"/>
    <w:rsid w:val="45630245"/>
    <w:rsid w:val="46276078"/>
    <w:rsid w:val="51100CA9"/>
    <w:rsid w:val="51C06D99"/>
    <w:rsid w:val="63E24553"/>
    <w:rsid w:val="65BE5D09"/>
    <w:rsid w:val="6B11082A"/>
    <w:rsid w:val="75554328"/>
    <w:rsid w:val="7D1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方正仿宋_GBK" w:cs="Times New Roman"/>
      <w:kern w:val="2"/>
      <w:sz w:val="32"/>
      <w:szCs w:val="32"/>
      <w:lang w:val="en-US" w:eastAsia="zh-CN" w:bidi="ar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2025-06-10T00:10:00Z</dcterms:created>
  <dc:creator>Administrator</dc:creator>
  <cp:lastModifiedBy>Administrator</cp:lastModifiedBy>
  <cp:lastPrinted>2025-07-03T01:30:00Z</cp:lastPrinted>
  <dcterms:modified xsi:type="dcterms:W3CDTF">2025-07-14T07:44:36Z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