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
    <w:p>
      <w:pPr>
        <w:jc w:val="distribute"/>
        <w:rPr>
          <w:w w:val="63"/>
        </w:rPr>
      </w:pPr>
    </w:p>
    <w:p>
      <w:pPr>
        <w:jc w:val="center"/>
      </w:pPr>
    </w:p>
    <w:p>
      <w:pPr>
        <w:jc w:val="center"/>
        <w:rPr>
          <w:rFonts w:hint="eastAsia"/>
        </w:rPr>
      </w:pPr>
      <w:bookmarkStart w:id="0" w:name="wenhao"/>
    </w:p>
    <w:p>
      <w:pPr>
        <w:jc w:val="center"/>
        <w:rPr>
          <w:rFonts w:hint="eastAsia"/>
        </w:rPr>
      </w:pPr>
    </w:p>
    <w:p>
      <w:pPr>
        <w:jc w:val="center"/>
        <w:rPr>
          <w:rFonts w:hint="eastAsia"/>
        </w:rPr>
      </w:pPr>
    </w:p>
    <w:p>
      <w:pPr>
        <w:jc w:val="center"/>
        <w:rPr>
          <w:rFonts w:eastAsia="方正仿宋_GBK"/>
          <w:sz w:val="32"/>
          <w:szCs w:val="32"/>
        </w:rPr>
      </w:pPr>
      <w:r>
        <w:rPr>
          <w:rFonts w:eastAsia="方正仿宋_GBK"/>
          <w:sz w:val="32"/>
          <w:szCs w:val="32"/>
        </w:rPr>
        <w:t>渝中市监发〔2022〕10号</w:t>
      </w:r>
      <w:bookmarkEnd w:id="0"/>
    </w:p>
    <w:p>
      <w:pPr>
        <w:rPr>
          <w:sz w:val="32"/>
          <w:szCs w:val="32"/>
        </w:rPr>
      </w:pPr>
    </w:p>
    <w:p>
      <w:pPr>
        <w:snapToGrid w:val="0"/>
        <w:spacing w:line="600" w:lineRule="exact"/>
        <w:jc w:val="center"/>
        <w:rPr>
          <w:rFonts w:hint="eastAsia" w:eastAsia="方正小标宋_GBK"/>
          <w:sz w:val="44"/>
          <w:szCs w:val="44"/>
        </w:rPr>
      </w:pPr>
      <w:r>
        <w:rPr>
          <w:rFonts w:eastAsia="方正小标宋_GBK"/>
          <w:sz w:val="44"/>
          <w:szCs w:val="44"/>
        </w:rPr>
        <w:t>重庆市渝中区市场监督管理局关于</w:t>
      </w:r>
    </w:p>
    <w:p>
      <w:pPr>
        <w:snapToGrid w:val="0"/>
        <w:spacing w:line="600" w:lineRule="exact"/>
        <w:jc w:val="center"/>
        <w:rPr>
          <w:rFonts w:eastAsia="方正小标宋_GBK"/>
          <w:sz w:val="44"/>
          <w:szCs w:val="44"/>
        </w:rPr>
      </w:pPr>
      <w:r>
        <w:rPr>
          <w:rFonts w:eastAsia="方正小标宋_GBK"/>
          <w:sz w:val="44"/>
          <w:szCs w:val="44"/>
        </w:rPr>
        <w:t>下达2022年食品安全监督抽检计划的通知</w:t>
      </w:r>
    </w:p>
    <w:p>
      <w:pPr>
        <w:spacing w:line="600" w:lineRule="exact"/>
        <w:rPr>
          <w:rFonts w:eastAsia="方正仿宋_GBK"/>
          <w:sz w:val="32"/>
          <w:szCs w:val="32"/>
        </w:rPr>
      </w:pPr>
    </w:p>
    <w:p>
      <w:pPr>
        <w:spacing w:line="600" w:lineRule="exact"/>
        <w:rPr>
          <w:rFonts w:eastAsia="方正仿宋_GBK"/>
          <w:sz w:val="32"/>
          <w:szCs w:val="32"/>
        </w:rPr>
      </w:pPr>
      <w:r>
        <w:rPr>
          <w:rFonts w:hint="eastAsia" w:hAnsi="方正仿宋_GBK" w:eastAsia="方正仿宋_GBK"/>
          <w:sz w:val="32"/>
          <w:szCs w:val="32"/>
        </w:rPr>
        <w:t>各科（室）、执法支队，各市场监管所，消委会</w:t>
      </w:r>
      <w:r>
        <w:rPr>
          <w:rFonts w:eastAsia="方正仿宋_GBK"/>
          <w:sz w:val="32"/>
          <w:szCs w:val="32"/>
        </w:rPr>
        <w:t>：</w:t>
      </w:r>
    </w:p>
    <w:p>
      <w:pPr>
        <w:spacing w:line="600" w:lineRule="exact"/>
        <w:ind w:firstLine="640" w:firstLineChars="200"/>
        <w:rPr>
          <w:rFonts w:eastAsia="方正仿宋_GBK"/>
          <w:spacing w:val="4"/>
          <w:sz w:val="32"/>
          <w:szCs w:val="32"/>
        </w:rPr>
      </w:pPr>
      <w:r>
        <w:rPr>
          <w:rFonts w:eastAsia="方正仿宋_GBK"/>
          <w:sz w:val="32"/>
          <w:szCs w:val="32"/>
        </w:rPr>
        <w:t>根据《中华人民共和国食品安全法》及其实施条例、《食品安全抽样检验管理办法》等法律法规和市市场监督管理局《关于下达2022年食品安全监督抽检计划的通知》（渝市监发〔2022〕13号）下达的任务和工作要求，区局制定了《2022年食品安全监督抽检计划》。现予印发，请遵照执行</w:t>
      </w:r>
      <w:r>
        <w:rPr>
          <w:rFonts w:eastAsia="方正仿宋_GBK"/>
          <w:spacing w:val="4"/>
          <w:sz w:val="32"/>
          <w:szCs w:val="32"/>
        </w:rPr>
        <w:t>。</w:t>
      </w:r>
    </w:p>
    <w:p>
      <w:pPr>
        <w:spacing w:line="600" w:lineRule="exact"/>
        <w:ind w:firstLine="656" w:firstLineChars="200"/>
        <w:rPr>
          <w:rFonts w:eastAsia="方正仿宋_GBK"/>
          <w:spacing w:val="4"/>
          <w:sz w:val="32"/>
          <w:szCs w:val="32"/>
        </w:rPr>
      </w:pPr>
    </w:p>
    <w:p>
      <w:pPr>
        <w:spacing w:line="600" w:lineRule="exact"/>
        <w:ind w:firstLine="3936" w:firstLineChars="1200"/>
        <w:rPr>
          <w:rFonts w:eastAsia="方正仿宋_GBK"/>
          <w:spacing w:val="4"/>
          <w:sz w:val="32"/>
          <w:szCs w:val="32"/>
        </w:rPr>
      </w:pPr>
      <w:r>
        <w:rPr>
          <w:rFonts w:eastAsia="方正仿宋_GBK"/>
          <w:spacing w:val="4"/>
          <w:sz w:val="32"/>
          <w:szCs w:val="32"/>
        </w:rPr>
        <w:t>重庆市渝中区市场监督管理局</w:t>
      </w:r>
    </w:p>
    <w:p>
      <w:pPr>
        <w:adjustRightInd w:val="0"/>
        <w:snapToGrid w:val="0"/>
        <w:spacing w:line="600" w:lineRule="exact"/>
        <w:jc w:val="center"/>
        <w:rPr>
          <w:rFonts w:eastAsia="方正仿宋_GBK"/>
          <w:spacing w:val="4"/>
          <w:sz w:val="32"/>
          <w:szCs w:val="32"/>
        </w:rPr>
      </w:pPr>
      <w:r>
        <w:rPr>
          <w:rFonts w:eastAsia="方正仿宋_GBK"/>
          <w:spacing w:val="4"/>
          <w:sz w:val="32"/>
          <w:szCs w:val="32"/>
        </w:rPr>
        <w:t xml:space="preserve">                   2022年2月2</w:t>
      </w:r>
      <w:r>
        <w:rPr>
          <w:rFonts w:hint="eastAsia" w:eastAsia="方正仿宋_GBK"/>
          <w:spacing w:val="4"/>
          <w:sz w:val="32"/>
          <w:szCs w:val="32"/>
        </w:rPr>
        <w:t>3</w:t>
      </w:r>
      <w:r>
        <w:rPr>
          <w:rFonts w:eastAsia="方正仿宋_GBK"/>
          <w:spacing w:val="4"/>
          <w:sz w:val="32"/>
          <w:szCs w:val="32"/>
        </w:rPr>
        <w:t>日</w:t>
      </w:r>
    </w:p>
    <w:p>
      <w:pPr>
        <w:adjustRightInd w:val="0"/>
        <w:snapToGrid w:val="0"/>
        <w:spacing w:line="560" w:lineRule="exact"/>
        <w:jc w:val="center"/>
        <w:rPr>
          <w:rFonts w:eastAsia="方正仿宋_GBK" w:cs="方正仿宋_GBK"/>
          <w:spacing w:val="4"/>
          <w:sz w:val="32"/>
          <w:szCs w:val="32"/>
        </w:rPr>
      </w:pPr>
    </w:p>
    <w:p>
      <w:pPr>
        <w:adjustRightInd w:val="0"/>
        <w:snapToGrid w:val="0"/>
        <w:spacing w:line="554" w:lineRule="exact"/>
        <w:jc w:val="center"/>
        <w:rPr>
          <w:rFonts w:eastAsia="方正小标宋_GBK"/>
          <w:color w:val="000000"/>
          <w:spacing w:val="-6"/>
          <w:sz w:val="44"/>
          <w:szCs w:val="44"/>
        </w:rPr>
      </w:pPr>
      <w:r>
        <w:rPr>
          <w:rFonts w:eastAsia="方正小标宋_GBK"/>
          <w:sz w:val="44"/>
          <w:szCs w:val="44"/>
        </w:rPr>
        <w:t>2022</w:t>
      </w:r>
      <w:r>
        <w:rPr>
          <w:rFonts w:eastAsia="方正小标宋_GBK"/>
          <w:snapToGrid w:val="0"/>
          <w:sz w:val="44"/>
          <w:szCs w:val="44"/>
        </w:rPr>
        <w:t>年食品安全监督抽检计划</w:t>
      </w:r>
    </w:p>
    <w:p>
      <w:pPr>
        <w:adjustRightInd w:val="0"/>
        <w:snapToGrid w:val="0"/>
        <w:spacing w:line="554" w:lineRule="exact"/>
        <w:jc w:val="center"/>
        <w:rPr>
          <w:rFonts w:eastAsia="方正仿宋_GBK"/>
          <w:snapToGrid w:val="0"/>
          <w:color w:val="000000"/>
          <w:sz w:val="32"/>
          <w:szCs w:val="32"/>
        </w:rPr>
      </w:pP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为全面贯彻落实市委、市政府《深化改革加强食品安全工作的若干措施》（渝委发〔</w:t>
      </w:r>
      <w:r>
        <w:rPr>
          <w:rFonts w:eastAsia="方正仿宋_GBK"/>
          <w:sz w:val="32"/>
          <w:szCs w:val="32"/>
        </w:rPr>
        <w:t>2020</w:t>
      </w:r>
      <w:r>
        <w:rPr>
          <w:rFonts w:eastAsia="方正仿宋_GBK"/>
          <w:snapToGrid w:val="0"/>
          <w:color w:val="000000"/>
          <w:sz w:val="32"/>
          <w:szCs w:val="32"/>
        </w:rPr>
        <w:t>〕</w:t>
      </w:r>
      <w:r>
        <w:rPr>
          <w:rFonts w:eastAsia="方正仿宋_GBK"/>
          <w:sz w:val="32"/>
          <w:szCs w:val="32"/>
        </w:rPr>
        <w:t>4</w:t>
      </w:r>
      <w:r>
        <w:rPr>
          <w:rFonts w:eastAsia="方正仿宋_GBK"/>
          <w:snapToGrid w:val="0"/>
          <w:color w:val="000000"/>
          <w:sz w:val="32"/>
          <w:szCs w:val="32"/>
        </w:rPr>
        <w:t>号）和区委、区政府《关于印发〈深化改革加强食品安全工作的若干措施〉的通知》精神，根据重庆市市场监督管理局《关于下达</w:t>
      </w:r>
      <w:r>
        <w:rPr>
          <w:rFonts w:eastAsia="方正仿宋_GBK"/>
          <w:sz w:val="32"/>
          <w:szCs w:val="32"/>
        </w:rPr>
        <w:t>2022</w:t>
      </w:r>
      <w:r>
        <w:rPr>
          <w:rFonts w:eastAsia="方正仿宋_GBK"/>
          <w:snapToGrid w:val="0"/>
          <w:color w:val="000000"/>
          <w:sz w:val="32"/>
          <w:szCs w:val="32"/>
        </w:rPr>
        <w:t>年食品安全监督抽检计划的通知》（渝市监〔</w:t>
      </w:r>
      <w:r>
        <w:rPr>
          <w:rFonts w:eastAsia="方正仿宋_GBK"/>
          <w:sz w:val="32"/>
          <w:szCs w:val="32"/>
        </w:rPr>
        <w:t>2022</w:t>
      </w:r>
      <w:r>
        <w:rPr>
          <w:rFonts w:eastAsia="方正仿宋_GBK"/>
          <w:snapToGrid w:val="0"/>
          <w:color w:val="000000"/>
          <w:sz w:val="32"/>
          <w:szCs w:val="32"/>
        </w:rPr>
        <w:t>〕</w:t>
      </w:r>
      <w:r>
        <w:rPr>
          <w:rFonts w:eastAsia="方正仿宋_GBK"/>
          <w:sz w:val="32"/>
          <w:szCs w:val="32"/>
        </w:rPr>
        <w:t>13</w:t>
      </w:r>
      <w:r>
        <w:rPr>
          <w:rFonts w:eastAsia="方正仿宋_GBK"/>
          <w:snapToGrid w:val="0"/>
          <w:color w:val="000000"/>
          <w:sz w:val="32"/>
          <w:szCs w:val="32"/>
        </w:rPr>
        <w:t>号）要求，制定</w:t>
      </w:r>
      <w:r>
        <w:rPr>
          <w:rFonts w:eastAsia="方正仿宋_GBK"/>
          <w:sz w:val="32"/>
          <w:szCs w:val="32"/>
        </w:rPr>
        <w:t>2022</w:t>
      </w:r>
      <w:r>
        <w:rPr>
          <w:rFonts w:eastAsia="方正仿宋_GBK"/>
          <w:snapToGrid w:val="0"/>
          <w:color w:val="000000"/>
          <w:sz w:val="32"/>
          <w:szCs w:val="32"/>
        </w:rPr>
        <w:t>年渝中区食品安全监督抽检工作计划。</w:t>
      </w:r>
    </w:p>
    <w:p>
      <w:pPr>
        <w:adjustRightInd w:val="0"/>
        <w:snapToGrid w:val="0"/>
        <w:spacing w:line="554" w:lineRule="exact"/>
        <w:ind w:firstLine="640" w:firstLineChars="200"/>
        <w:jc w:val="left"/>
        <w:rPr>
          <w:rFonts w:hint="eastAsia" w:ascii="方正黑体_GBK" w:eastAsia="方正黑体_GBK"/>
          <w:snapToGrid w:val="0"/>
          <w:color w:val="000000"/>
          <w:sz w:val="32"/>
          <w:szCs w:val="32"/>
        </w:rPr>
      </w:pPr>
      <w:r>
        <w:rPr>
          <w:rFonts w:hint="eastAsia" w:ascii="方正黑体_GBK" w:eastAsia="方正黑体_GBK"/>
          <w:snapToGrid w:val="0"/>
          <w:color w:val="000000"/>
          <w:sz w:val="32"/>
          <w:szCs w:val="32"/>
        </w:rPr>
        <w:t>一、指导思想</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食品安全监督抽检工作要坚持以人民为中心，坚决落实食品</w:t>
      </w:r>
      <w:r>
        <w:rPr>
          <w:rFonts w:hint="eastAsia" w:ascii="方正仿宋_GBK" w:eastAsia="方正仿宋_GBK"/>
          <w:snapToGrid w:val="0"/>
          <w:color w:val="000000"/>
          <w:sz w:val="32"/>
          <w:szCs w:val="32"/>
        </w:rPr>
        <w:t>安全“四个最严”的工作要求，切实提高抽检的针对性、有效性、系统性；要坚持问题导向，控制区</w:t>
      </w:r>
      <w:r>
        <w:rPr>
          <w:rFonts w:eastAsia="方正仿宋_GBK"/>
          <w:snapToGrid w:val="0"/>
          <w:color w:val="000000"/>
          <w:sz w:val="32"/>
          <w:szCs w:val="32"/>
        </w:rPr>
        <w:t>域性、系统性重大食品安全风险，坚决守住食品安全底线。</w:t>
      </w:r>
    </w:p>
    <w:p>
      <w:pPr>
        <w:adjustRightInd w:val="0"/>
        <w:snapToGrid w:val="0"/>
        <w:spacing w:line="554" w:lineRule="exact"/>
        <w:ind w:firstLine="640" w:firstLineChars="200"/>
        <w:jc w:val="left"/>
        <w:rPr>
          <w:rFonts w:hint="eastAsia" w:ascii="方正黑体_GBK" w:eastAsia="方正黑体_GBK"/>
          <w:snapToGrid w:val="0"/>
          <w:color w:val="000000"/>
          <w:sz w:val="32"/>
          <w:szCs w:val="32"/>
        </w:rPr>
      </w:pPr>
      <w:r>
        <w:rPr>
          <w:rFonts w:hint="eastAsia" w:ascii="方正黑体_GBK" w:eastAsia="方正黑体_GBK"/>
          <w:snapToGrid w:val="0"/>
          <w:color w:val="000000"/>
          <w:sz w:val="32"/>
          <w:szCs w:val="32"/>
        </w:rPr>
        <w:t>二、工作原则</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（一）坚持问题导向</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从解决人民群众普遍关心的突出问题入手，围绕涉及人民群众身体健康的食品安全性指标，聚焦高风险食品品种、项目和区域开展监督抽检，加大对大宗消费食品，校园、幼儿园及周边等重点区域的抽检力度。加大对既往抽检不合格食品生产经营企业的跟踪抽检，杜绝同一食品安全问题反复发生。积极开展食品安</w:t>
      </w:r>
      <w:r>
        <w:rPr>
          <w:rFonts w:hint="eastAsia" w:ascii="方正仿宋_GBK" w:eastAsia="方正仿宋_GBK"/>
          <w:snapToGrid w:val="0"/>
          <w:color w:val="000000"/>
          <w:sz w:val="32"/>
          <w:szCs w:val="32"/>
        </w:rPr>
        <w:t>全“你点我检”活动。对检出不合格的食品，开展跟踪抽检（在抽样编号末加注“</w:t>
      </w:r>
      <w:r>
        <w:rPr>
          <w:rFonts w:eastAsia="方正仿宋_GBK"/>
          <w:snapToGrid w:val="0"/>
          <w:color w:val="000000"/>
          <w:sz w:val="32"/>
          <w:szCs w:val="32"/>
        </w:rPr>
        <w:t>GZ</w:t>
      </w:r>
      <w:r>
        <w:rPr>
          <w:rFonts w:hint="eastAsia" w:ascii="方正仿宋_GBK" w:eastAsia="方正仿宋_GBK"/>
          <w:snapToGrid w:val="0"/>
          <w:color w:val="000000"/>
          <w:sz w:val="32"/>
          <w:szCs w:val="32"/>
        </w:rPr>
        <w:t>”</w:t>
      </w:r>
      <w:r>
        <w:rPr>
          <w:rFonts w:eastAsia="方正仿宋_GBK"/>
          <w:snapToGrid w:val="0"/>
          <w:color w:val="000000"/>
          <w:sz w:val="32"/>
          <w:szCs w:val="32"/>
        </w:rPr>
        <w:t>）。对抽检发现高风险的，应当及时报告并快速处置。</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（二）坚持检管结合</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充分发挥监督抽检工作对食品安全监管的推动作用，实现抽检计划制定、组织实施、核查处置、数据分析与日常监管工作的有机结合，加强抽检信息与相关部门的互通共享。落实冷链食品和食用农产品抽样前监督检查制度，提高样品抽取的代表性和针对性。</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（三）坚持科所联动</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鼓励各相关科（室）、执法支队在区局</w:t>
      </w:r>
      <w:r>
        <w:rPr>
          <w:rFonts w:eastAsia="方正仿宋_GBK"/>
          <w:sz w:val="32"/>
          <w:szCs w:val="32"/>
        </w:rPr>
        <w:t>2022</w:t>
      </w:r>
      <w:r>
        <w:rPr>
          <w:rFonts w:eastAsia="方正仿宋_GBK"/>
          <w:snapToGrid w:val="0"/>
          <w:color w:val="000000"/>
          <w:sz w:val="32"/>
          <w:szCs w:val="32"/>
        </w:rPr>
        <w:t>年底食品安全监督抽检计划内，根据本科（室）、队年度食品安全工作和专项工作需要，使用省级转移任务（简</w:t>
      </w:r>
      <w:r>
        <w:rPr>
          <w:rFonts w:hint="eastAsia" w:ascii="方正仿宋_GBK" w:eastAsia="方正仿宋_GBK"/>
          <w:snapToGrid w:val="0"/>
          <w:color w:val="000000"/>
          <w:sz w:val="32"/>
          <w:szCs w:val="32"/>
        </w:rPr>
        <w:t>称“柔性任务”</w:t>
      </w:r>
      <w:r>
        <w:rPr>
          <w:rFonts w:eastAsia="方正仿宋_GBK"/>
          <w:snapToGrid w:val="0"/>
          <w:color w:val="000000"/>
          <w:sz w:val="32"/>
          <w:szCs w:val="32"/>
        </w:rPr>
        <w:t>SC）指标或各市场监管所的计划指标，安排本部门食品抽检任务。鼓励各市场监管所在保障抽检计划实施的基础上，根据本辖区食品经营状况和消费特点安排本所抽检计划任务。</w:t>
      </w:r>
    </w:p>
    <w:p>
      <w:pPr>
        <w:adjustRightInd w:val="0"/>
        <w:snapToGrid w:val="0"/>
        <w:spacing w:line="554" w:lineRule="exact"/>
        <w:ind w:firstLine="640" w:firstLineChars="200"/>
        <w:jc w:val="left"/>
        <w:rPr>
          <w:rFonts w:hint="eastAsia" w:ascii="方正黑体_GBK" w:eastAsia="方正黑体_GBK"/>
          <w:snapToGrid w:val="0"/>
          <w:color w:val="000000"/>
          <w:sz w:val="32"/>
          <w:szCs w:val="32"/>
        </w:rPr>
      </w:pPr>
      <w:r>
        <w:rPr>
          <w:rFonts w:hint="eastAsia" w:ascii="方正黑体_GBK" w:eastAsia="方正黑体_GBK"/>
          <w:snapToGrid w:val="0"/>
          <w:color w:val="000000"/>
          <w:sz w:val="32"/>
          <w:szCs w:val="32"/>
        </w:rPr>
        <w:t>三、工作任务</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z w:val="32"/>
          <w:szCs w:val="32"/>
        </w:rPr>
        <w:t>2022</w:t>
      </w:r>
      <w:r>
        <w:rPr>
          <w:rFonts w:eastAsia="方正仿宋_GBK"/>
          <w:snapToGrid w:val="0"/>
          <w:color w:val="000000"/>
          <w:sz w:val="32"/>
          <w:szCs w:val="32"/>
        </w:rPr>
        <w:t>年度国家级和市级食品安全年度监督抽检计划任务共计</w:t>
      </w:r>
      <w:r>
        <w:rPr>
          <w:rFonts w:eastAsia="方正仿宋_GBK"/>
          <w:sz w:val="32"/>
          <w:szCs w:val="32"/>
        </w:rPr>
        <w:t>870</w:t>
      </w:r>
      <w:r>
        <w:rPr>
          <w:rFonts w:eastAsia="方正仿宋_GBK"/>
          <w:snapToGrid w:val="0"/>
          <w:color w:val="000000"/>
          <w:sz w:val="32"/>
          <w:szCs w:val="32"/>
        </w:rPr>
        <w:t>批次。其中国家级监督抽检计划任务（简</w:t>
      </w:r>
      <w:r>
        <w:rPr>
          <w:rFonts w:hint="eastAsia" w:ascii="方正仿宋_GBK" w:eastAsia="方正仿宋_GBK"/>
          <w:snapToGrid w:val="0"/>
          <w:color w:val="000000"/>
          <w:sz w:val="32"/>
          <w:szCs w:val="32"/>
        </w:rPr>
        <w:t>称“国抽任务”</w:t>
      </w:r>
      <w:r>
        <w:rPr>
          <w:rFonts w:eastAsia="方正仿宋_GBK"/>
          <w:snapToGrid w:val="0"/>
          <w:color w:val="000000"/>
          <w:sz w:val="32"/>
          <w:szCs w:val="32"/>
        </w:rPr>
        <w:t>GC）</w:t>
      </w:r>
      <w:r>
        <w:rPr>
          <w:rFonts w:eastAsia="方正仿宋_GBK"/>
          <w:sz w:val="32"/>
          <w:szCs w:val="32"/>
        </w:rPr>
        <w:t>38</w:t>
      </w:r>
      <w:r>
        <w:rPr>
          <w:rFonts w:eastAsia="方正仿宋_GBK"/>
          <w:snapToGrid w:val="0"/>
          <w:color w:val="000000"/>
          <w:sz w:val="32"/>
          <w:szCs w:val="32"/>
        </w:rPr>
        <w:t>批次、食用农产品专项（简称</w:t>
      </w:r>
      <w:r>
        <w:rPr>
          <w:rFonts w:hint="eastAsia" w:ascii="方正仿宋_GBK" w:eastAsia="方正仿宋_GBK"/>
          <w:snapToGrid w:val="0"/>
          <w:color w:val="000000"/>
          <w:sz w:val="32"/>
          <w:szCs w:val="32"/>
        </w:rPr>
        <w:t>“农产品”</w:t>
      </w:r>
      <w:r>
        <w:rPr>
          <w:rFonts w:eastAsia="方正仿宋_GBK"/>
          <w:snapToGrid w:val="0"/>
          <w:color w:val="000000"/>
          <w:sz w:val="32"/>
          <w:szCs w:val="32"/>
        </w:rPr>
        <w:t>NCP）</w:t>
      </w:r>
      <w:r>
        <w:rPr>
          <w:rFonts w:eastAsia="方正仿宋_GBK"/>
          <w:sz w:val="32"/>
          <w:szCs w:val="32"/>
        </w:rPr>
        <w:t>592</w:t>
      </w:r>
      <w:r>
        <w:rPr>
          <w:rFonts w:eastAsia="方正仿宋_GBK"/>
          <w:snapToGrid w:val="0"/>
          <w:color w:val="000000"/>
          <w:sz w:val="32"/>
          <w:szCs w:val="32"/>
        </w:rPr>
        <w:t>批次、省级转移任务</w:t>
      </w:r>
      <w:r>
        <w:rPr>
          <w:rFonts w:eastAsia="方正仿宋_GBK"/>
          <w:sz w:val="32"/>
          <w:szCs w:val="32"/>
        </w:rPr>
        <w:t>240</w:t>
      </w:r>
      <w:r>
        <w:rPr>
          <w:rFonts w:eastAsia="方正仿宋_GBK"/>
          <w:snapToGrid w:val="0"/>
          <w:color w:val="000000"/>
          <w:sz w:val="32"/>
          <w:szCs w:val="32"/>
        </w:rPr>
        <w:t>批次。各类食品抽检任务均由市场监管所负责具体实施，并在</w:t>
      </w:r>
      <w:r>
        <w:rPr>
          <w:rFonts w:eastAsia="方正仿宋_GBK"/>
          <w:sz w:val="32"/>
          <w:szCs w:val="32"/>
        </w:rPr>
        <w:t>2022</w:t>
      </w:r>
      <w:r>
        <w:rPr>
          <w:rFonts w:eastAsia="方正仿宋_GBK"/>
          <w:snapToGrid w:val="0"/>
          <w:color w:val="000000"/>
          <w:sz w:val="32"/>
          <w:szCs w:val="32"/>
        </w:rPr>
        <w:t>年</w:t>
      </w:r>
      <w:r>
        <w:rPr>
          <w:rFonts w:eastAsia="方正仿宋_GBK"/>
          <w:sz w:val="32"/>
          <w:szCs w:val="32"/>
        </w:rPr>
        <w:t>12</w:t>
      </w:r>
      <w:r>
        <w:rPr>
          <w:rFonts w:eastAsia="方正仿宋_GBK"/>
          <w:snapToGrid w:val="0"/>
          <w:color w:val="000000"/>
          <w:sz w:val="32"/>
          <w:szCs w:val="32"/>
        </w:rPr>
        <w:t>月</w:t>
      </w:r>
      <w:r>
        <w:rPr>
          <w:rFonts w:eastAsia="方正仿宋_GBK"/>
          <w:sz w:val="32"/>
          <w:szCs w:val="32"/>
        </w:rPr>
        <w:t>10</w:t>
      </w:r>
      <w:r>
        <w:rPr>
          <w:rFonts w:eastAsia="方正仿宋_GBK"/>
          <w:snapToGrid w:val="0"/>
          <w:color w:val="000000"/>
          <w:sz w:val="32"/>
          <w:szCs w:val="32"/>
        </w:rPr>
        <w:t>日前完成市局下达抽样任务，</w:t>
      </w:r>
      <w:r>
        <w:rPr>
          <w:rFonts w:eastAsia="方正仿宋_GBK"/>
          <w:sz w:val="32"/>
          <w:szCs w:val="32"/>
        </w:rPr>
        <w:t>12</w:t>
      </w:r>
      <w:r>
        <w:rPr>
          <w:rFonts w:eastAsia="方正仿宋_GBK"/>
          <w:snapToGrid w:val="0"/>
          <w:color w:val="000000"/>
          <w:sz w:val="32"/>
          <w:szCs w:val="32"/>
        </w:rPr>
        <w:t>月</w:t>
      </w:r>
      <w:r>
        <w:rPr>
          <w:rFonts w:eastAsia="方正仿宋_GBK"/>
          <w:sz w:val="32"/>
          <w:szCs w:val="32"/>
        </w:rPr>
        <w:t>20</w:t>
      </w:r>
      <w:r>
        <w:rPr>
          <w:rFonts w:eastAsia="方正仿宋_GBK"/>
          <w:snapToGrid w:val="0"/>
          <w:color w:val="000000"/>
          <w:sz w:val="32"/>
          <w:szCs w:val="32"/>
        </w:rPr>
        <w:t>日前完成全部送样检验和信息报送工作。</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（一）国抽任务（GC）</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1</w:t>
      </w:r>
      <w:r>
        <w:rPr>
          <w:rFonts w:hint="eastAsia" w:eastAsia="方正仿宋_GBK"/>
          <w:snapToGrid w:val="0"/>
          <w:color w:val="000000"/>
          <w:sz w:val="32"/>
          <w:szCs w:val="32"/>
        </w:rPr>
        <w:t>．</w:t>
      </w:r>
      <w:r>
        <w:rPr>
          <w:rFonts w:eastAsia="方正仿宋_GBK"/>
          <w:snapToGrid w:val="0"/>
          <w:color w:val="000000"/>
          <w:sz w:val="32"/>
          <w:szCs w:val="32"/>
        </w:rPr>
        <w:t>抽检单位。抽样单位为各区县（自治县）市场监管局，检验单位为市食品药品检验检测研究院。抽检数据均应严格按照规定的时限和规范要求，及时准确进行报送，抽检数据均应报送至</w:t>
      </w:r>
      <w:r>
        <w:rPr>
          <w:rFonts w:hint="eastAsia" w:ascii="方正仿宋_GBK" w:eastAsia="方正仿宋_GBK"/>
          <w:snapToGrid w:val="0"/>
          <w:color w:val="000000"/>
          <w:sz w:val="32"/>
          <w:szCs w:val="32"/>
        </w:rPr>
        <w:t>“国家食品安全抽样检验信息系统”，报送分</w:t>
      </w:r>
      <w:r>
        <w:rPr>
          <w:rFonts w:eastAsia="方正仿宋_GBK"/>
          <w:snapToGrid w:val="0"/>
          <w:color w:val="000000"/>
          <w:sz w:val="32"/>
          <w:szCs w:val="32"/>
        </w:rPr>
        <w:t>类A为</w:t>
      </w:r>
      <w:r>
        <w:rPr>
          <w:rFonts w:hint="eastAsia" w:ascii="方正仿宋_GBK" w:eastAsia="方正仿宋_GBK"/>
          <w:snapToGrid w:val="0"/>
          <w:color w:val="000000"/>
          <w:sz w:val="32"/>
          <w:szCs w:val="32"/>
        </w:rPr>
        <w:t>“</w:t>
      </w:r>
      <w:r>
        <w:rPr>
          <w:rFonts w:eastAsia="方正仿宋_GBK"/>
          <w:snapToGrid w:val="0"/>
          <w:color w:val="000000"/>
          <w:sz w:val="32"/>
          <w:szCs w:val="32"/>
        </w:rPr>
        <w:t>抽检监测（转移地方）</w:t>
      </w:r>
      <w:r>
        <w:rPr>
          <w:rFonts w:hint="eastAsia" w:ascii="方正仿宋_GBK" w:eastAsia="方正仿宋_GBK"/>
          <w:snapToGrid w:val="0"/>
          <w:color w:val="000000"/>
          <w:sz w:val="32"/>
          <w:szCs w:val="32"/>
        </w:rPr>
        <w:t>”</w:t>
      </w:r>
      <w:r>
        <w:rPr>
          <w:rFonts w:eastAsia="方正仿宋_GBK"/>
          <w:snapToGrid w:val="0"/>
          <w:color w:val="000000"/>
          <w:sz w:val="32"/>
          <w:szCs w:val="32"/>
        </w:rPr>
        <w:t>，报送分类B为</w:t>
      </w:r>
      <w:r>
        <w:rPr>
          <w:rFonts w:hint="eastAsia" w:ascii="方正仿宋_GBK" w:eastAsia="方正仿宋_GBK"/>
          <w:snapToGrid w:val="0"/>
          <w:color w:val="000000"/>
          <w:sz w:val="32"/>
          <w:szCs w:val="32"/>
        </w:rPr>
        <w:t>“</w:t>
      </w:r>
      <w:r>
        <w:rPr>
          <w:rFonts w:eastAsia="方正仿宋_GBK"/>
          <w:snapToGrid w:val="0"/>
          <w:color w:val="000000"/>
          <w:sz w:val="32"/>
          <w:szCs w:val="32"/>
        </w:rPr>
        <w:t>2022年总局抽检计划</w:t>
      </w:r>
      <w:r>
        <w:rPr>
          <w:rFonts w:hint="eastAsia" w:ascii="方正仿宋_GBK" w:eastAsia="方正仿宋_GBK"/>
          <w:snapToGrid w:val="0"/>
          <w:color w:val="000000"/>
          <w:sz w:val="32"/>
          <w:szCs w:val="32"/>
        </w:rPr>
        <w:t>”</w:t>
      </w:r>
      <w:r>
        <w:rPr>
          <w:rFonts w:eastAsia="方正仿宋_GBK"/>
          <w:snapToGrid w:val="0"/>
          <w:color w:val="000000"/>
          <w:sz w:val="32"/>
          <w:szCs w:val="32"/>
        </w:rPr>
        <w:t>。</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2</w:t>
      </w:r>
      <w:r>
        <w:rPr>
          <w:rFonts w:hint="eastAsia" w:eastAsia="方正仿宋_GBK"/>
          <w:snapToGrid w:val="0"/>
          <w:color w:val="000000"/>
          <w:sz w:val="32"/>
          <w:szCs w:val="32"/>
        </w:rPr>
        <w:t>．</w:t>
      </w:r>
      <w:r>
        <w:rPr>
          <w:rFonts w:eastAsia="方正仿宋_GBK"/>
          <w:snapToGrid w:val="0"/>
          <w:color w:val="000000"/>
          <w:sz w:val="32"/>
          <w:szCs w:val="32"/>
        </w:rPr>
        <w:t>抽检对象。本市所有获得生产许可证的在产食品企业生产销售的食品、市场占有率高的超市、大型批发市场销售的食品和大型餐饮企业生产销售的产业食品。抽检品种包括粮食加工品、酒类、饮料、蜂产品、食用农产品、餐饮食品等29大类。抽检品种及具体任务数量见附件1，对应的检验项目和检验方法按《2022年国家抽检实施细则》执行。</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z w:val="32"/>
          <w:szCs w:val="32"/>
        </w:rPr>
        <w:t>3</w:t>
      </w:r>
      <w:r>
        <w:rPr>
          <w:rFonts w:hint="eastAsia" w:eastAsia="方正仿宋_GBK"/>
          <w:sz w:val="32"/>
          <w:szCs w:val="32"/>
        </w:rPr>
        <w:t>．</w:t>
      </w:r>
      <w:r>
        <w:rPr>
          <w:rFonts w:eastAsia="方正仿宋_GBK"/>
          <w:snapToGrid w:val="0"/>
          <w:color w:val="000000"/>
          <w:sz w:val="32"/>
          <w:szCs w:val="32"/>
        </w:rPr>
        <w:t>抽检环节。抽检的样品主要在流通环节购买。流通环节未抽到的样品，可在生产环节抽取。流通环节采样应涵盖批发市场、农贸市场、商场、超市、小食杂店、校园周边等不同食品销售场所。餐饮环节采样重点为大型餐饮店、学校和托幼机构食堂以及中央厨房、集体用餐配送单位、旅游景区餐饮服务单位等。</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z w:val="32"/>
          <w:szCs w:val="32"/>
        </w:rPr>
        <w:t>4</w:t>
      </w:r>
      <w:r>
        <w:rPr>
          <w:rFonts w:hint="eastAsia" w:eastAsia="方正仿宋_GBK"/>
          <w:sz w:val="32"/>
          <w:szCs w:val="32"/>
        </w:rPr>
        <w:t>．</w:t>
      </w:r>
      <w:r>
        <w:rPr>
          <w:rFonts w:eastAsia="方正仿宋_GBK"/>
          <w:snapToGrid w:val="0"/>
          <w:color w:val="000000"/>
          <w:sz w:val="32"/>
          <w:szCs w:val="32"/>
        </w:rPr>
        <w:t>抽检频次。要全年均衡完成抽检任务。季节性生产销售的食品或存在季节性质量安全风险的食品，在相应季节增加采样量。节令性食品要在节前开展抽检工作，可结合具体情况开展专项抽检。</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（二）食用农产品专项（NCP）</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1</w:t>
      </w:r>
      <w:r>
        <w:rPr>
          <w:rFonts w:hint="eastAsia" w:eastAsia="方正仿宋_GBK"/>
          <w:snapToGrid w:val="0"/>
          <w:color w:val="000000"/>
          <w:sz w:val="32"/>
          <w:szCs w:val="32"/>
        </w:rPr>
        <w:t>．</w:t>
      </w:r>
      <w:r>
        <w:rPr>
          <w:rFonts w:eastAsia="方正仿宋_GBK"/>
          <w:snapToGrid w:val="0"/>
          <w:color w:val="000000"/>
          <w:sz w:val="32"/>
          <w:szCs w:val="32"/>
        </w:rPr>
        <w:t>抽检单位。食用农产品专项抽样单位为各市场监管所，检验单位为重庆市食品药品检验检测研究院，抽样检验严格按照市场监管总局印发《食用农产品抽样检验和核查处置规定》、《2022年食用农产品监督抽检工作要求》（附件11）要求执行；抽检数据均应报送</w:t>
      </w:r>
      <w:r>
        <w:rPr>
          <w:rFonts w:hint="eastAsia" w:ascii="方正仿宋_GBK" w:eastAsia="方正仿宋_GBK"/>
          <w:snapToGrid w:val="0"/>
          <w:color w:val="000000"/>
          <w:sz w:val="32"/>
          <w:szCs w:val="32"/>
        </w:rPr>
        <w:t>至“国家食品安全抽样检验信息系统”</w:t>
      </w:r>
      <w:r>
        <w:rPr>
          <w:rFonts w:eastAsia="方正仿宋_GBK"/>
          <w:snapToGrid w:val="0"/>
          <w:color w:val="000000"/>
          <w:sz w:val="32"/>
          <w:szCs w:val="32"/>
        </w:rPr>
        <w:t>，食用农产品报送分类A为</w:t>
      </w:r>
      <w:r>
        <w:rPr>
          <w:rFonts w:hint="eastAsia" w:ascii="方正仿宋_GBK" w:eastAsia="方正仿宋_GBK"/>
          <w:snapToGrid w:val="0"/>
          <w:color w:val="000000"/>
          <w:sz w:val="32"/>
          <w:szCs w:val="32"/>
        </w:rPr>
        <w:t>“市县级农产品专项抽检”</w:t>
      </w:r>
      <w:r>
        <w:rPr>
          <w:rFonts w:eastAsia="方正仿宋_GBK"/>
          <w:snapToGrid w:val="0"/>
          <w:color w:val="000000"/>
          <w:sz w:val="32"/>
          <w:szCs w:val="32"/>
        </w:rPr>
        <w:t>，报送分类B为</w:t>
      </w:r>
      <w:r>
        <w:rPr>
          <w:rFonts w:hint="eastAsia" w:ascii="方正仿宋_GBK" w:eastAsia="方正仿宋_GBK"/>
          <w:snapToGrid w:val="0"/>
          <w:color w:val="000000"/>
          <w:sz w:val="32"/>
          <w:szCs w:val="32"/>
        </w:rPr>
        <w:t>“</w:t>
      </w:r>
      <w:r>
        <w:rPr>
          <w:rFonts w:eastAsia="方正仿宋_GBK"/>
          <w:snapToGrid w:val="0"/>
          <w:color w:val="000000"/>
          <w:sz w:val="32"/>
          <w:szCs w:val="32"/>
        </w:rPr>
        <w:t>2022年重庆XX（区县）农产品抽检计划</w:t>
      </w:r>
      <w:r>
        <w:rPr>
          <w:rFonts w:hint="eastAsia" w:ascii="方正仿宋_GBK" w:eastAsia="方正仿宋_GBK"/>
          <w:snapToGrid w:val="0"/>
          <w:color w:val="000000"/>
          <w:sz w:val="32"/>
          <w:szCs w:val="32"/>
        </w:rPr>
        <w:t>”。</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z w:val="32"/>
          <w:szCs w:val="32"/>
        </w:rPr>
        <w:t>2</w:t>
      </w:r>
      <w:r>
        <w:rPr>
          <w:rFonts w:hint="eastAsia" w:eastAsia="方正仿宋_GBK"/>
          <w:sz w:val="32"/>
          <w:szCs w:val="32"/>
        </w:rPr>
        <w:t>．</w:t>
      </w:r>
      <w:r>
        <w:rPr>
          <w:rFonts w:eastAsia="方正仿宋_GBK"/>
          <w:snapToGrid w:val="0"/>
          <w:color w:val="000000"/>
          <w:sz w:val="32"/>
          <w:szCs w:val="32"/>
        </w:rPr>
        <w:t>抽检对象。抽检重点为大宗消费食用农产品和常见食用农产品，各类食用农产品具体任务数量见附件</w:t>
      </w:r>
      <w:r>
        <w:rPr>
          <w:rFonts w:eastAsia="方正仿宋_GBK"/>
          <w:sz w:val="32"/>
          <w:szCs w:val="32"/>
        </w:rPr>
        <w:t>2</w:t>
      </w:r>
      <w:r>
        <w:rPr>
          <w:rFonts w:eastAsia="方正仿宋_GBK"/>
          <w:snapToGrid w:val="0"/>
          <w:color w:val="000000"/>
          <w:sz w:val="32"/>
          <w:szCs w:val="32"/>
        </w:rPr>
        <w:t>，抽检品种及对应的检验项目见附件</w:t>
      </w:r>
      <w:r>
        <w:rPr>
          <w:rFonts w:eastAsia="方正仿宋_GBK"/>
          <w:sz w:val="32"/>
          <w:szCs w:val="32"/>
        </w:rPr>
        <w:t>4</w:t>
      </w:r>
      <w:r>
        <w:rPr>
          <w:rFonts w:eastAsia="方正仿宋_GBK"/>
          <w:snapToGrid w:val="0"/>
          <w:color w:val="000000"/>
          <w:sz w:val="32"/>
          <w:szCs w:val="32"/>
        </w:rPr>
        <w:t>。</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z w:val="32"/>
          <w:szCs w:val="32"/>
        </w:rPr>
        <w:t>3</w:t>
      </w:r>
      <w:r>
        <w:rPr>
          <w:rFonts w:hint="eastAsia" w:eastAsia="方正仿宋_GBK"/>
          <w:snapToGrid w:val="0"/>
          <w:color w:val="000000"/>
          <w:sz w:val="32"/>
          <w:szCs w:val="32"/>
        </w:rPr>
        <w:t>．</w:t>
      </w:r>
      <w:r>
        <w:rPr>
          <w:rFonts w:eastAsia="方正仿宋_GBK"/>
          <w:snapToGrid w:val="0"/>
          <w:color w:val="000000"/>
          <w:sz w:val="32"/>
          <w:szCs w:val="32"/>
        </w:rPr>
        <w:t>抽检环节。抽检的样品主要在流通环节购买，流通环节未抽到的食品，可在餐饮环节抽取。</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z w:val="32"/>
          <w:szCs w:val="32"/>
        </w:rPr>
        <w:t>4</w:t>
      </w:r>
      <w:r>
        <w:rPr>
          <w:rFonts w:hint="eastAsia" w:eastAsia="方正仿宋_GBK"/>
          <w:snapToGrid w:val="0"/>
          <w:color w:val="000000"/>
          <w:sz w:val="32"/>
          <w:szCs w:val="32"/>
        </w:rPr>
        <w:t>．</w:t>
      </w:r>
      <w:r>
        <w:rPr>
          <w:rFonts w:eastAsia="方正仿宋_GBK"/>
          <w:snapToGrid w:val="0"/>
          <w:color w:val="000000"/>
          <w:sz w:val="32"/>
          <w:szCs w:val="32"/>
        </w:rPr>
        <w:t>抽检频次。原则上要全年均衡完成抽检任务，各市场监管所应根据农贸市场、商场、超市等的交易数量和季节等特点按比例确定抽样频次和数量，原则上每户入场销售者每月至少抽检</w:t>
      </w:r>
      <w:r>
        <w:rPr>
          <w:rFonts w:eastAsia="方正仿宋_GBK"/>
          <w:sz w:val="32"/>
          <w:szCs w:val="32"/>
        </w:rPr>
        <w:t>1</w:t>
      </w:r>
      <w:r>
        <w:rPr>
          <w:rFonts w:eastAsia="方正仿宋_GBK"/>
          <w:snapToGrid w:val="0"/>
          <w:color w:val="000000"/>
          <w:sz w:val="32"/>
          <w:szCs w:val="32"/>
        </w:rPr>
        <w:t>批次，应每周抽检蔬菜、水果、畜禽肉、水产品、鲜蛋等食用农产品。</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（三） 省级转移任务（SC）</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1</w:t>
      </w:r>
      <w:r>
        <w:rPr>
          <w:rFonts w:hint="eastAsia" w:eastAsia="方正仿宋_GBK"/>
          <w:snapToGrid w:val="0"/>
          <w:color w:val="000000"/>
          <w:sz w:val="32"/>
          <w:szCs w:val="32"/>
        </w:rPr>
        <w:t>．</w:t>
      </w:r>
      <w:r>
        <w:rPr>
          <w:rFonts w:eastAsia="方正仿宋_GBK"/>
          <w:snapToGrid w:val="0"/>
          <w:color w:val="000000"/>
          <w:sz w:val="32"/>
          <w:szCs w:val="32"/>
        </w:rPr>
        <w:t>抽检单位。抽样单位为各市场监管所，检验单位为重庆市食品药品检验检测研究院。抽检数据均应报送至</w:t>
      </w:r>
      <w:r>
        <w:rPr>
          <w:rFonts w:hint="eastAsia" w:ascii="方正仿宋_GBK" w:eastAsia="方正仿宋_GBK"/>
          <w:snapToGrid w:val="0"/>
          <w:color w:val="000000"/>
          <w:sz w:val="32"/>
          <w:szCs w:val="32"/>
        </w:rPr>
        <w:t>“国家食品安全抽样检验信息系统”，省级转移任务报送分</w:t>
      </w:r>
      <w:r>
        <w:rPr>
          <w:rFonts w:eastAsia="方正仿宋_GBK"/>
          <w:snapToGrid w:val="0"/>
          <w:color w:val="000000"/>
          <w:sz w:val="32"/>
          <w:szCs w:val="32"/>
        </w:rPr>
        <w:t>类A为</w:t>
      </w:r>
      <w:r>
        <w:rPr>
          <w:rFonts w:hint="eastAsia" w:ascii="方正仿宋_GBK" w:eastAsia="方正仿宋_GBK"/>
          <w:snapToGrid w:val="0"/>
          <w:color w:val="000000"/>
          <w:sz w:val="32"/>
          <w:szCs w:val="32"/>
        </w:rPr>
        <w:t>“</w:t>
      </w:r>
      <w:r>
        <w:rPr>
          <w:rFonts w:eastAsia="方正仿宋_GBK"/>
          <w:snapToGrid w:val="0"/>
          <w:color w:val="000000"/>
          <w:sz w:val="32"/>
          <w:szCs w:val="32"/>
        </w:rPr>
        <w:t>抽检监测（省级转移）</w:t>
      </w:r>
      <w:r>
        <w:rPr>
          <w:rFonts w:hint="eastAsia" w:ascii="方正仿宋_GBK" w:eastAsia="方正仿宋_GBK"/>
          <w:snapToGrid w:val="0"/>
          <w:color w:val="000000"/>
          <w:sz w:val="32"/>
          <w:szCs w:val="32"/>
        </w:rPr>
        <w:t>”</w:t>
      </w:r>
      <w:r>
        <w:rPr>
          <w:rFonts w:eastAsia="方正仿宋_GBK"/>
          <w:snapToGrid w:val="0"/>
          <w:color w:val="000000"/>
          <w:sz w:val="32"/>
          <w:szCs w:val="32"/>
        </w:rPr>
        <w:t>，报送分类B为</w:t>
      </w:r>
      <w:r>
        <w:rPr>
          <w:rFonts w:hint="eastAsia" w:ascii="方正仿宋_GBK" w:eastAsia="方正仿宋_GBK"/>
          <w:snapToGrid w:val="0"/>
          <w:color w:val="000000"/>
          <w:sz w:val="32"/>
          <w:szCs w:val="32"/>
        </w:rPr>
        <w:t>“</w:t>
      </w:r>
      <w:r>
        <w:rPr>
          <w:rFonts w:eastAsia="方正仿宋_GBK"/>
          <w:snapToGrid w:val="0"/>
          <w:color w:val="000000"/>
          <w:sz w:val="32"/>
          <w:szCs w:val="32"/>
        </w:rPr>
        <w:t>2022年重庆柔性抽检计划</w:t>
      </w:r>
      <w:r>
        <w:rPr>
          <w:rFonts w:hint="eastAsia" w:ascii="方正仿宋_GBK" w:eastAsia="方正仿宋_GBK"/>
          <w:snapToGrid w:val="0"/>
          <w:color w:val="000000"/>
          <w:sz w:val="32"/>
          <w:szCs w:val="32"/>
        </w:rPr>
        <w:t>”。</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2</w:t>
      </w:r>
      <w:r>
        <w:rPr>
          <w:rFonts w:hint="eastAsia" w:eastAsia="方正仿宋_GBK"/>
          <w:snapToGrid w:val="0"/>
          <w:color w:val="000000"/>
          <w:sz w:val="32"/>
          <w:szCs w:val="32"/>
        </w:rPr>
        <w:t>．</w:t>
      </w:r>
      <w:r>
        <w:rPr>
          <w:rFonts w:eastAsia="方正仿宋_GBK"/>
          <w:snapToGrid w:val="0"/>
          <w:color w:val="000000"/>
          <w:sz w:val="32"/>
          <w:szCs w:val="32"/>
        </w:rPr>
        <w:t>各市场监管所省级转移任务主要用于执法办案、重大活动食品安全保障、举报投诉等方面，抽检品种和检验项目可根据工作实际需要确定，不合格食品核查处置后跟踪检验和生产环节省级本级任务未能覆盖部分也可纳入省级转移计划。具体数量分配见附件</w:t>
      </w:r>
      <w:r>
        <w:rPr>
          <w:rFonts w:eastAsia="方正仿宋_GBK"/>
          <w:sz w:val="32"/>
          <w:szCs w:val="32"/>
        </w:rPr>
        <w:t>2</w:t>
      </w:r>
      <w:r>
        <w:rPr>
          <w:rFonts w:eastAsia="方正仿宋_GBK"/>
          <w:snapToGrid w:val="0"/>
          <w:color w:val="000000"/>
          <w:sz w:val="32"/>
          <w:szCs w:val="32"/>
        </w:rPr>
        <w:t>。</w:t>
      </w:r>
    </w:p>
    <w:p>
      <w:pPr>
        <w:adjustRightInd w:val="0"/>
        <w:snapToGrid w:val="0"/>
        <w:spacing w:line="554" w:lineRule="exact"/>
        <w:ind w:firstLine="640" w:firstLineChars="200"/>
        <w:jc w:val="left"/>
        <w:rPr>
          <w:rFonts w:hint="eastAsia" w:ascii="方正黑体_GBK" w:eastAsia="方正黑体_GBK"/>
          <w:snapToGrid w:val="0"/>
          <w:color w:val="000000"/>
          <w:sz w:val="32"/>
          <w:szCs w:val="32"/>
        </w:rPr>
      </w:pPr>
      <w:r>
        <w:rPr>
          <w:rFonts w:hint="eastAsia" w:ascii="方正黑体_GBK" w:eastAsia="方正黑体_GBK"/>
          <w:snapToGrid w:val="0"/>
          <w:color w:val="000000"/>
          <w:sz w:val="32"/>
          <w:szCs w:val="32"/>
        </w:rPr>
        <w:t>四、工作要求</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（一）加强组织领导</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各市场监管所要高度重视抽检工作，加强组织协调，要明确专职人员负责抽检工作，确保工作的延续性和人员的稳定性。要尽快组织力量根据本计划确保年度任务有序推进，按时完成。</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（二）规范抽检工作</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各市场监管所在抽检工作中要严格执行有关法律法规、规章及相关规定，严格落实冷链食品和食用农产品执法人员抽样，并开展现场监督检查取证和记录产品溯源信息；要积极支持承检机构开展工作，在联系协调被抽检单位等方面给予必要帮助；对发现企业停产的要说明原因并作书面记录，长期停产的要进行生产条件复核确认后经分管领导签字盖章报市局食品生产处、风险管理处审核同意后进行任务调整；及时核对抽检样品信息和异议情况。</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（三）强化督导考核</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综合科将加强对市场监管所食品安全监督抽检全过程的督促指导，每月对均衡抽样、核查处置、监督抽检不合格率等情况进行通报，通报情况将纳入区局年度食品安全工作考核内容。2022年，市局将重点考核季度抽样检验均衡性，各单位要严格根据逐月任务量（详见附件3）有序推动抽样检验进度；重点考核监督抽检不合格率；重点考核核查处置按时完成率，各单位严格按照核查处置要求及时启动核查处置流程，按照规定时限完成核查处置工作。</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（四）依法核查处置</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各市场监管所收到不合格食品检验报告后，应根据市局《关于加强和规范食品安全抽检监测核查处置审核工作的通知》（渝市监发〔</w:t>
      </w:r>
      <w:r>
        <w:rPr>
          <w:rFonts w:eastAsia="方正仿宋_GBK"/>
          <w:sz w:val="32"/>
          <w:szCs w:val="32"/>
        </w:rPr>
        <w:t>2020</w:t>
      </w:r>
      <w:r>
        <w:rPr>
          <w:rFonts w:eastAsia="方正仿宋_GBK"/>
          <w:snapToGrid w:val="0"/>
          <w:color w:val="000000"/>
          <w:sz w:val="32"/>
          <w:szCs w:val="32"/>
        </w:rPr>
        <w:t>〕</w:t>
      </w:r>
      <w:r>
        <w:rPr>
          <w:rFonts w:eastAsia="方正仿宋_GBK"/>
          <w:sz w:val="32"/>
          <w:szCs w:val="32"/>
        </w:rPr>
        <w:t>44</w:t>
      </w:r>
      <w:r>
        <w:rPr>
          <w:rFonts w:eastAsia="方正仿宋_GBK"/>
          <w:snapToGrid w:val="0"/>
          <w:color w:val="000000"/>
          <w:sz w:val="32"/>
          <w:szCs w:val="32"/>
        </w:rPr>
        <w:t>号）要求，及时送达食品生产经营者，启动对不合格食品及其生产经营者的核查处置，并将核查处置情况及时填</w:t>
      </w:r>
      <w:r>
        <w:rPr>
          <w:rFonts w:hint="eastAsia" w:ascii="方正仿宋_GBK" w:eastAsia="方正仿宋_GBK"/>
          <w:snapToGrid w:val="0"/>
          <w:color w:val="000000"/>
          <w:sz w:val="32"/>
          <w:szCs w:val="32"/>
        </w:rPr>
        <w:t>报“国家食品安全抽样检验信息系统”。</w:t>
      </w:r>
      <w:r>
        <w:rPr>
          <w:rFonts w:eastAsia="方正仿宋_GBK"/>
          <w:snapToGrid w:val="0"/>
          <w:color w:val="000000"/>
          <w:sz w:val="32"/>
          <w:szCs w:val="32"/>
        </w:rPr>
        <w:t>收到不合格食品可能对身体健康和生命安全造成严重危害的报告后，应在</w:t>
      </w:r>
      <w:r>
        <w:rPr>
          <w:rFonts w:eastAsia="方正仿宋_GBK"/>
          <w:sz w:val="32"/>
          <w:szCs w:val="32"/>
        </w:rPr>
        <w:t>24</w:t>
      </w:r>
      <w:r>
        <w:rPr>
          <w:rFonts w:eastAsia="方正仿宋_GBK"/>
          <w:snapToGrid w:val="0"/>
          <w:color w:val="000000"/>
          <w:sz w:val="32"/>
          <w:szCs w:val="32"/>
        </w:rPr>
        <w:t>小时内启动核查处置程序，对发现涉嫌犯罪或涉及其他部门职责的，应当及时移送移交。食品一科、食品二科和食品三科负责督促、指导市场监管所依法开展核查处置工作，对涉嫌违法需立案查处的，及时进行查处，并对核查处置中存在的问题积极与市局相关食品处室进行沟通协调，保证核查处置任务按时完成。</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（五）严肃工作纪律</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食品安全监督抽样工作必须严格执行市局印发《食品安全抽检监测样品管理办法（试行）》规定内容，样品购买费用要必须严格执行市局印发《食品安全抽检监测经费管理办法》和</w:t>
      </w:r>
      <w:r>
        <w:rPr>
          <w:rFonts w:hint="eastAsia" w:ascii="方正仿宋_GBK" w:eastAsia="方正仿宋_GBK"/>
          <w:snapToGrid w:val="0"/>
          <w:color w:val="000000"/>
          <w:sz w:val="32"/>
          <w:szCs w:val="32"/>
        </w:rPr>
        <w:t>“</w:t>
      </w:r>
      <w:r>
        <w:rPr>
          <w:rFonts w:eastAsia="方正仿宋_GBK"/>
          <w:snapToGrid w:val="0"/>
          <w:color w:val="000000"/>
          <w:sz w:val="32"/>
          <w:szCs w:val="32"/>
        </w:rPr>
        <w:t>渝中局通知﹝</w:t>
      </w:r>
      <w:r>
        <w:rPr>
          <w:rFonts w:eastAsia="方正仿宋_GBK"/>
          <w:sz w:val="32"/>
          <w:szCs w:val="32"/>
        </w:rPr>
        <w:t>2019</w:t>
      </w:r>
      <w:r>
        <w:rPr>
          <w:rFonts w:eastAsia="方正仿宋_GBK"/>
          <w:snapToGrid w:val="0"/>
          <w:color w:val="000000"/>
          <w:sz w:val="32"/>
          <w:szCs w:val="32"/>
        </w:rPr>
        <w:t>﹞</w:t>
      </w:r>
      <w:r>
        <w:rPr>
          <w:rFonts w:eastAsia="方正仿宋_GBK"/>
          <w:sz w:val="32"/>
          <w:szCs w:val="32"/>
        </w:rPr>
        <w:t>197</w:t>
      </w:r>
      <w:r>
        <w:rPr>
          <w:rFonts w:eastAsia="方正仿宋_GBK"/>
          <w:snapToGrid w:val="0"/>
          <w:color w:val="000000"/>
          <w:sz w:val="32"/>
          <w:szCs w:val="32"/>
        </w:rPr>
        <w:t>号</w:t>
      </w:r>
      <w:r>
        <w:rPr>
          <w:rFonts w:hint="eastAsia" w:ascii="方正仿宋_GBK" w:eastAsia="方正仿宋_GBK"/>
          <w:snapToGrid w:val="0"/>
          <w:color w:val="000000"/>
          <w:sz w:val="32"/>
          <w:szCs w:val="32"/>
        </w:rPr>
        <w:t>”</w:t>
      </w:r>
      <w:r>
        <w:rPr>
          <w:rFonts w:eastAsia="方正仿宋_GBK"/>
          <w:snapToGrid w:val="0"/>
          <w:color w:val="000000"/>
          <w:sz w:val="32"/>
          <w:szCs w:val="32"/>
        </w:rPr>
        <w:t>规定，切实做到单独核算，专款专用，按规定程序实报实销，不得挤占、挪用专项资金。同时严格做到</w:t>
      </w:r>
      <w:r>
        <w:rPr>
          <w:rFonts w:hint="eastAsia" w:ascii="方正仿宋_GBK" w:eastAsia="方正仿宋_GBK"/>
          <w:snapToGrid w:val="0"/>
          <w:color w:val="000000"/>
          <w:sz w:val="32"/>
          <w:szCs w:val="32"/>
        </w:rPr>
        <w:t>“五个严禁”</w:t>
      </w:r>
      <w:r>
        <w:rPr>
          <w:rFonts w:eastAsia="方正仿宋_GBK"/>
          <w:snapToGrid w:val="0"/>
          <w:color w:val="000000"/>
          <w:sz w:val="32"/>
          <w:szCs w:val="32"/>
        </w:rPr>
        <w:t>。一是严禁向被抽样食品生产经营者通风报信；二是严禁接受被抽样食品生产经营者的财物和吃请；三是严禁利用抽样工作虚开发票报销或者套取样品购买经费；四是严禁抽样时不支付样品购买费；五是严禁使用掉包样品等方式帮助被抽样食品生产经营者逃避抽检。对工作中发现存在违法违纪行为的，一律依法依规严肃追究相关单位和人员的责任。</w:t>
      </w:r>
    </w:p>
    <w:p>
      <w:pPr>
        <w:adjustRightInd w:val="0"/>
        <w:snapToGrid w:val="0"/>
        <w:spacing w:line="554" w:lineRule="exact"/>
        <w:ind w:firstLine="640" w:firstLineChars="200"/>
        <w:jc w:val="left"/>
        <w:rPr>
          <w:rFonts w:hint="eastAsia" w:ascii="方正楷体_GBK" w:eastAsia="方正楷体_GBK"/>
          <w:snapToGrid w:val="0"/>
          <w:color w:val="000000"/>
          <w:sz w:val="32"/>
          <w:szCs w:val="32"/>
        </w:rPr>
      </w:pPr>
      <w:r>
        <w:rPr>
          <w:rFonts w:hint="eastAsia" w:ascii="方正楷体_GBK" w:eastAsia="方正楷体_GBK"/>
          <w:snapToGrid w:val="0"/>
          <w:color w:val="000000"/>
          <w:sz w:val="32"/>
          <w:szCs w:val="32"/>
        </w:rPr>
        <w:t>（六）其他事项</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1</w:t>
      </w:r>
      <w:r>
        <w:rPr>
          <w:rFonts w:hint="eastAsia" w:eastAsia="方正仿宋_GBK"/>
          <w:snapToGrid w:val="0"/>
          <w:color w:val="000000"/>
          <w:sz w:val="32"/>
          <w:szCs w:val="32"/>
        </w:rPr>
        <w:t>．</w:t>
      </w:r>
      <w:r>
        <w:rPr>
          <w:rFonts w:eastAsia="方正仿宋_GBK"/>
          <w:snapToGrid w:val="0"/>
          <w:color w:val="000000"/>
          <w:sz w:val="32"/>
          <w:szCs w:val="32"/>
        </w:rPr>
        <w:t>对抽样工作中的技术问题和交接样问题，请直接与承检机构联系。抽样技术联系人：张立武、许锋电话：86077831，  86067786；交样工作联系人：蔡明霞、罗志坚电话：86072763，86072762。</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napToGrid w:val="0"/>
          <w:color w:val="000000"/>
          <w:sz w:val="32"/>
          <w:szCs w:val="32"/>
        </w:rPr>
        <w:t>2</w:t>
      </w:r>
      <w:r>
        <w:rPr>
          <w:rFonts w:hint="eastAsia" w:eastAsia="方正仿宋_GBK"/>
          <w:snapToGrid w:val="0"/>
          <w:color w:val="000000"/>
          <w:sz w:val="32"/>
          <w:szCs w:val="32"/>
        </w:rPr>
        <w:t>．</w:t>
      </w:r>
      <w:r>
        <w:rPr>
          <w:rFonts w:eastAsia="方正仿宋_GBK"/>
          <w:snapToGrid w:val="0"/>
          <w:color w:val="000000"/>
          <w:sz w:val="32"/>
          <w:szCs w:val="32"/>
        </w:rPr>
        <w:t>对抽样工作中文书领取、系统使用、风险研判等问题，请直接与综合科联系。综合科联系人：王丽娜、韩霞，联系电话：63702017。</w:t>
      </w:r>
    </w:p>
    <w:p>
      <w:pPr>
        <w:adjustRightInd w:val="0"/>
        <w:snapToGrid w:val="0"/>
        <w:spacing w:line="554" w:lineRule="exact"/>
        <w:ind w:firstLine="640" w:firstLineChars="200"/>
        <w:jc w:val="left"/>
        <w:rPr>
          <w:rFonts w:eastAsia="方正仿宋_GBK"/>
          <w:snapToGrid w:val="0"/>
          <w:color w:val="000000"/>
          <w:sz w:val="32"/>
          <w:szCs w:val="32"/>
        </w:rPr>
      </w:pPr>
      <w:r>
        <w:rPr>
          <w:rFonts w:eastAsia="方正仿宋_GBK"/>
          <w:sz w:val="32"/>
          <w:szCs w:val="32"/>
        </w:rPr>
        <w:t>3</w:t>
      </w:r>
      <w:r>
        <w:rPr>
          <w:rFonts w:hint="eastAsia" w:eastAsia="方正仿宋_GBK"/>
          <w:snapToGrid w:val="0"/>
          <w:color w:val="000000"/>
          <w:sz w:val="32"/>
          <w:szCs w:val="32"/>
        </w:rPr>
        <w:t>．</w:t>
      </w:r>
      <w:r>
        <w:rPr>
          <w:rFonts w:eastAsia="方正仿宋_GBK"/>
          <w:snapToGrid w:val="0"/>
          <w:color w:val="000000"/>
          <w:sz w:val="32"/>
          <w:szCs w:val="32"/>
        </w:rPr>
        <w:t>对抽样工作中涉及生产经营流通环节的专业技术等问题，请直接与食品监管科室联系。</w:t>
      </w:r>
    </w:p>
    <w:p>
      <w:pPr>
        <w:adjustRightInd w:val="0"/>
        <w:snapToGrid w:val="0"/>
        <w:spacing w:line="554" w:lineRule="exact"/>
        <w:ind w:firstLine="640" w:firstLineChars="200"/>
        <w:jc w:val="left"/>
        <w:rPr>
          <w:rFonts w:eastAsia="方正仿宋_GBK"/>
          <w:snapToGrid w:val="0"/>
          <w:color w:val="000000"/>
          <w:sz w:val="32"/>
          <w:szCs w:val="32"/>
        </w:rPr>
      </w:pPr>
    </w:p>
    <w:p>
      <w:pPr>
        <w:adjustRightInd w:val="0"/>
        <w:snapToGrid w:val="0"/>
        <w:spacing w:line="554" w:lineRule="exact"/>
        <w:ind w:left="2078" w:leftChars="304" w:hanging="1440" w:hangingChars="450"/>
        <w:jc w:val="left"/>
        <w:rPr>
          <w:rFonts w:eastAsia="方正仿宋_GBK"/>
          <w:snapToGrid w:val="0"/>
          <w:color w:val="000000"/>
          <w:sz w:val="32"/>
          <w:szCs w:val="32"/>
        </w:rPr>
      </w:pPr>
      <w:r>
        <w:rPr>
          <w:rFonts w:eastAsia="方正仿宋_GBK"/>
          <w:snapToGrid w:val="0"/>
          <w:color w:val="000000"/>
          <w:sz w:val="32"/>
          <w:szCs w:val="32"/>
        </w:rPr>
        <w:t>附件：</w:t>
      </w:r>
      <w:r>
        <w:rPr>
          <w:rFonts w:eastAsia="方正仿宋_GBK"/>
          <w:sz w:val="32"/>
          <w:szCs w:val="32"/>
        </w:rPr>
        <w:t>1</w:t>
      </w:r>
      <w:r>
        <w:rPr>
          <w:rFonts w:hint="eastAsia" w:eastAsia="方正仿宋_GBK"/>
          <w:snapToGrid w:val="0"/>
          <w:color w:val="000000"/>
          <w:sz w:val="32"/>
          <w:szCs w:val="32"/>
        </w:rPr>
        <w:t>．</w:t>
      </w:r>
      <w:r>
        <w:rPr>
          <w:rFonts w:eastAsia="方正仿宋_GBK"/>
          <w:sz w:val="32"/>
          <w:szCs w:val="32"/>
        </w:rPr>
        <w:t>2022</w:t>
      </w:r>
      <w:r>
        <w:rPr>
          <w:rFonts w:eastAsia="方正仿宋_GBK"/>
          <w:snapToGrid w:val="0"/>
          <w:color w:val="000000"/>
          <w:sz w:val="32"/>
          <w:szCs w:val="32"/>
        </w:rPr>
        <w:t xml:space="preserve">年国家总局食品安全监督抽检和计划（渝中区承担）任务分配表       </w:t>
      </w:r>
    </w:p>
    <w:p>
      <w:pPr>
        <w:widowControl/>
        <w:numPr>
          <w:ilvl w:val="0"/>
          <w:numId w:val="1"/>
        </w:numPr>
        <w:adjustRightInd w:val="0"/>
        <w:snapToGrid w:val="0"/>
        <w:spacing w:line="554" w:lineRule="exact"/>
        <w:jc w:val="left"/>
        <w:rPr>
          <w:rFonts w:eastAsia="方正仿宋_GBK"/>
          <w:snapToGrid w:val="0"/>
          <w:color w:val="000000"/>
          <w:spacing w:val="-4"/>
          <w:sz w:val="32"/>
          <w:szCs w:val="32"/>
        </w:rPr>
      </w:pPr>
      <w:r>
        <w:rPr>
          <w:rFonts w:eastAsia="方正仿宋_GBK"/>
          <w:spacing w:val="-4"/>
          <w:sz w:val="32"/>
          <w:szCs w:val="32"/>
        </w:rPr>
        <w:t>2022</w:t>
      </w:r>
      <w:r>
        <w:rPr>
          <w:rFonts w:eastAsia="方正仿宋_GBK"/>
          <w:snapToGrid w:val="0"/>
          <w:color w:val="000000"/>
          <w:spacing w:val="-4"/>
          <w:sz w:val="32"/>
          <w:szCs w:val="32"/>
        </w:rPr>
        <w:t xml:space="preserve">年渝中区食用农产品和市级柔性任务分配表 </w:t>
      </w:r>
    </w:p>
    <w:p>
      <w:pPr>
        <w:widowControl/>
        <w:numPr>
          <w:ilvl w:val="0"/>
          <w:numId w:val="1"/>
        </w:numPr>
        <w:adjustRightInd w:val="0"/>
        <w:snapToGrid w:val="0"/>
        <w:spacing w:line="554" w:lineRule="exact"/>
        <w:jc w:val="left"/>
        <w:rPr>
          <w:rFonts w:eastAsia="方正仿宋_GBK"/>
          <w:snapToGrid w:val="0"/>
          <w:color w:val="000000"/>
          <w:sz w:val="32"/>
          <w:szCs w:val="32"/>
        </w:rPr>
      </w:pPr>
      <w:r>
        <w:rPr>
          <w:rFonts w:eastAsia="方正仿宋_GBK"/>
          <w:sz w:val="32"/>
          <w:szCs w:val="32"/>
        </w:rPr>
        <w:t>2022</w:t>
      </w:r>
      <w:r>
        <w:rPr>
          <w:rFonts w:eastAsia="方正仿宋_GBK"/>
          <w:snapToGrid w:val="0"/>
          <w:color w:val="000000"/>
          <w:sz w:val="32"/>
          <w:szCs w:val="32"/>
        </w:rPr>
        <w:t>年渝中区各市场监管所抽样计划汇总表</w:t>
      </w:r>
    </w:p>
    <w:p>
      <w:pPr>
        <w:widowControl/>
        <w:numPr>
          <w:ilvl w:val="0"/>
          <w:numId w:val="1"/>
        </w:numPr>
        <w:adjustRightInd w:val="0"/>
        <w:snapToGrid w:val="0"/>
        <w:spacing w:line="554" w:lineRule="exact"/>
        <w:jc w:val="left"/>
        <w:rPr>
          <w:rFonts w:eastAsia="方正仿宋_GBK"/>
          <w:snapToGrid w:val="0"/>
          <w:color w:val="000000"/>
          <w:sz w:val="32"/>
          <w:szCs w:val="32"/>
        </w:rPr>
      </w:pPr>
      <w:r>
        <w:rPr>
          <w:rFonts w:eastAsia="方正仿宋_GBK"/>
          <w:sz w:val="32"/>
          <w:szCs w:val="32"/>
        </w:rPr>
        <w:t>2022</w:t>
      </w:r>
      <w:r>
        <w:rPr>
          <w:rFonts w:eastAsia="方正仿宋_GBK"/>
          <w:snapToGrid w:val="0"/>
          <w:color w:val="000000"/>
          <w:sz w:val="32"/>
          <w:szCs w:val="32"/>
        </w:rPr>
        <w:t>年食用农产品抽检品种、项目表</w:t>
      </w:r>
    </w:p>
    <w:p>
      <w:pPr>
        <w:widowControl/>
        <w:adjustRightInd w:val="0"/>
        <w:snapToGrid w:val="0"/>
        <w:spacing w:after="300" w:line="554" w:lineRule="exact"/>
        <w:ind w:firstLine="1440" w:firstLineChars="450"/>
        <w:jc w:val="left"/>
        <w:rPr>
          <w:rFonts w:eastAsia="方正仿宋_GBK"/>
          <w:snapToGrid w:val="0"/>
          <w:color w:val="000000"/>
          <w:sz w:val="32"/>
          <w:szCs w:val="32"/>
        </w:rPr>
      </w:pPr>
      <w:r>
        <w:rPr>
          <w:rFonts w:hint="eastAsia" w:eastAsia="方正仿宋_GBK"/>
          <w:snapToGrid w:val="0"/>
          <w:color w:val="000000"/>
          <w:sz w:val="32"/>
          <w:szCs w:val="32"/>
        </w:rPr>
        <w:t>５．</w:t>
      </w:r>
      <w:r>
        <w:rPr>
          <w:rFonts w:eastAsia="方正仿宋_GBK"/>
          <w:snapToGrid w:val="0"/>
          <w:color w:val="000000"/>
          <w:sz w:val="32"/>
          <w:szCs w:val="32"/>
        </w:rPr>
        <w:t>食品安全监督抽检抽样单编号号段分配表</w:t>
      </w:r>
    </w:p>
    <w:p>
      <w:pPr>
        <w:pBdr>
          <w:top w:val="single" w:color="auto" w:sz="4" w:space="1"/>
          <w:bottom w:val="single" w:color="auto" w:sz="8" w:space="1"/>
        </w:pBdr>
        <w:spacing w:line="240" w:lineRule="auto"/>
        <w:ind w:right="8484" w:rightChars="4040" w:firstLine="377" w:firstLineChars="0"/>
        <w:jc w:val="both"/>
        <w:rPr>
          <w:rFonts w:hint="eastAsia" w:ascii="方正仿宋_GBK" w:eastAsia="方正仿宋_GBK"/>
          <w:sz w:val="28"/>
          <w:szCs w:val="28"/>
        </w:rPr>
      </w:pPr>
      <w:bookmarkStart w:id="1" w:name="_GoBack"/>
      <w:bookmarkEnd w:id="1"/>
    </w:p>
    <w:p>
      <w:pPr>
        <w:pBdr>
          <w:top w:val="none" w:sz="0" w:space="0"/>
          <w:bottom w:val="none" w:sz="0" w:space="0"/>
        </w:pBdr>
        <w:spacing w:line="240" w:lineRule="auto"/>
        <w:ind w:right="0" w:rightChars="0" w:firstLine="552" w:firstLineChars="0"/>
        <w:jc w:val="left"/>
        <w:rPr>
          <w:rFonts w:hint="eastAsia" w:ascii="Times New Roman" w:hAnsi="Times New Roman" w:eastAsia="宋体" w:cs="Times New Roman"/>
          <w:kern w:val="2"/>
          <w:sz w:val="21"/>
          <w:lang w:val="en-US" w:eastAsia="zh-CN" w:bidi="ar-SA"/>
        </w:rPr>
      </w:pPr>
    </w:p>
    <w:sectPr>
      <w:footerReference r:id="rId3" w:type="default"/>
      <w:footerReference r:id="rId4" w:type="even"/>
      <w:pgSz w:w="11906" w:h="16838"/>
      <w:pgMar w:top="2098" w:right="1531" w:bottom="1985" w:left="1531"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- 2 -</w:t>
    </w:r>
    <w:r>
      <w:rPr>
        <w:rFonts w:hint="eastAsia"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6719B"/>
    <w:multiLevelType w:val="multilevel"/>
    <w:tmpl w:val="7356719B"/>
    <w:lvl w:ilvl="0" w:tentative="0">
      <w:start w:val="2"/>
      <w:numFmt w:val="decimal"/>
      <w:lvlText w:val="%1．"/>
      <w:lvlJc w:val="left"/>
      <w:pPr>
        <w:ind w:left="2320" w:hanging="720"/>
      </w:pPr>
      <w:rPr>
        <w:rFonts w:hint="default"/>
        <w:color w:val="auto"/>
      </w:rPr>
    </w:lvl>
    <w:lvl w:ilvl="1" w:tentative="0">
      <w:start w:val="1"/>
      <w:numFmt w:val="lowerLetter"/>
      <w:lvlText w:val="%2)"/>
      <w:lvlJc w:val="left"/>
      <w:pPr>
        <w:ind w:left="2440" w:hanging="420"/>
      </w:pPr>
    </w:lvl>
    <w:lvl w:ilvl="2" w:tentative="0">
      <w:start w:val="1"/>
      <w:numFmt w:val="lowerRoman"/>
      <w:lvlText w:val="%3."/>
      <w:lvlJc w:val="right"/>
      <w:pPr>
        <w:ind w:left="2860" w:hanging="420"/>
      </w:pPr>
    </w:lvl>
    <w:lvl w:ilvl="3" w:tentative="0">
      <w:start w:val="1"/>
      <w:numFmt w:val="decimal"/>
      <w:lvlText w:val="%4."/>
      <w:lvlJc w:val="left"/>
      <w:pPr>
        <w:ind w:left="3280" w:hanging="420"/>
      </w:pPr>
    </w:lvl>
    <w:lvl w:ilvl="4" w:tentative="0">
      <w:start w:val="1"/>
      <w:numFmt w:val="lowerLetter"/>
      <w:lvlText w:val="%5)"/>
      <w:lvlJc w:val="left"/>
      <w:pPr>
        <w:ind w:left="3700" w:hanging="420"/>
      </w:pPr>
    </w:lvl>
    <w:lvl w:ilvl="5" w:tentative="0">
      <w:start w:val="1"/>
      <w:numFmt w:val="lowerRoman"/>
      <w:lvlText w:val="%6."/>
      <w:lvlJc w:val="right"/>
      <w:pPr>
        <w:ind w:left="4120" w:hanging="420"/>
      </w:pPr>
    </w:lvl>
    <w:lvl w:ilvl="6" w:tentative="0">
      <w:start w:val="1"/>
      <w:numFmt w:val="decimal"/>
      <w:lvlText w:val="%7."/>
      <w:lvlJc w:val="left"/>
      <w:pPr>
        <w:ind w:left="4540" w:hanging="420"/>
      </w:pPr>
    </w:lvl>
    <w:lvl w:ilvl="7" w:tentative="0">
      <w:start w:val="1"/>
      <w:numFmt w:val="lowerLetter"/>
      <w:lvlText w:val="%8)"/>
      <w:lvlJc w:val="left"/>
      <w:pPr>
        <w:ind w:left="4960" w:hanging="420"/>
      </w:pPr>
    </w:lvl>
    <w:lvl w:ilvl="8" w:tentative="0">
      <w:start w:val="1"/>
      <w:numFmt w:val="lowerRoman"/>
      <w:lvlText w:val="%9."/>
      <w:lvlJc w:val="right"/>
      <w:pPr>
        <w:ind w:left="5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5D"/>
    <w:rsid w:val="00192C39"/>
    <w:rsid w:val="001A07AF"/>
    <w:rsid w:val="001A4CED"/>
    <w:rsid w:val="001F4CE9"/>
    <w:rsid w:val="00326EEA"/>
    <w:rsid w:val="0034775D"/>
    <w:rsid w:val="003E4F01"/>
    <w:rsid w:val="004723A4"/>
    <w:rsid w:val="00550862"/>
    <w:rsid w:val="00583661"/>
    <w:rsid w:val="005D2BAF"/>
    <w:rsid w:val="006C18A1"/>
    <w:rsid w:val="00751E48"/>
    <w:rsid w:val="007B03B7"/>
    <w:rsid w:val="007C7AB6"/>
    <w:rsid w:val="007D107F"/>
    <w:rsid w:val="00882B82"/>
    <w:rsid w:val="008B275D"/>
    <w:rsid w:val="00AF54EB"/>
    <w:rsid w:val="00BE7896"/>
    <w:rsid w:val="00DC5955"/>
    <w:rsid w:val="00DD0FC7"/>
    <w:rsid w:val="00E625B1"/>
    <w:rsid w:val="00E85223"/>
    <w:rsid w:val="35EFDBE2"/>
    <w:rsid w:val="3CAC1B8B"/>
    <w:rsid w:val="6F6B71B7"/>
    <w:rsid w:val="7C7BC2EC"/>
    <w:rsid w:val="DAF8E4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kern w:val="0"/>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link w:val="2"/>
    <w:qFormat/>
    <w:uiPriority w:val="0"/>
    <w:rPr>
      <w:rFonts w:ascii="Times New Roman" w:hAnsi="Times New Roman" w:eastAsia="宋体" w:cs="Times New Roman"/>
      <w:sz w:val="18"/>
      <w:szCs w:val="20"/>
    </w:rPr>
  </w:style>
  <w:style w:type="character" w:customStyle="1" w:styleId="8">
    <w:name w:val="页眉 Char"/>
    <w:link w:val="3"/>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597</Words>
  <Characters>3405</Characters>
  <Lines>28</Lines>
  <Paragraphs>7</Paragraphs>
  <TotalTime>6</TotalTime>
  <ScaleCrop>false</ScaleCrop>
  <LinksUpToDate>false</LinksUpToDate>
  <CharactersWithSpaces>3995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2022-02-24T01:43:00Z</dcterms:created>
  <dc:creator>高秋静</dc:creator>
  <cp:lastModifiedBy>ECHO</cp:lastModifiedBy>
  <dcterms:modified xsi:type="dcterms:W3CDTF">2022-12-19T05:49:50Z</dcterms:modified>
  <dc:title>重庆市渝中区市场监督管理局文件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9BB434095CE043C2948B0DEC86D6CB8D</vt:lpwstr>
  </property>
</Properties>
</file>