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1CBCC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方正小标宋简体" w:hAnsi="仿宋" w:eastAsia="方正小标宋简体" w:cs="方正仿宋简体"/>
          <w:color w:val="auto"/>
          <w:sz w:val="32"/>
          <w:szCs w:val="32"/>
        </w:rPr>
      </w:pPr>
      <w:r>
        <w:rPr>
          <w:rFonts w:hint="eastAsia" w:ascii="方正小标宋简体" w:hAnsi="仿宋" w:eastAsia="方正小标宋简体" w:cs="方正仿宋简体"/>
          <w:color w:val="auto"/>
          <w:sz w:val="32"/>
          <w:szCs w:val="32"/>
          <w:lang w:val="en-US" w:eastAsia="zh-CN"/>
        </w:rPr>
        <w:t>重庆市永川区</w:t>
      </w:r>
      <w:r>
        <w:rPr>
          <w:rFonts w:hint="eastAsia" w:ascii="方正小标宋简体" w:hAnsi="仿宋" w:eastAsia="方正小标宋简体" w:cs="方正仿宋简体"/>
          <w:color w:val="auto"/>
          <w:sz w:val="32"/>
          <w:szCs w:val="32"/>
        </w:rPr>
        <w:t>移动电源产品质量监督抽查实施细则（202</w:t>
      </w:r>
      <w:r>
        <w:rPr>
          <w:rFonts w:hint="eastAsia" w:ascii="方正小标宋简体" w:hAnsi="仿宋" w:eastAsia="方正小标宋简体" w:cs="方正仿宋简体"/>
          <w:color w:val="auto"/>
          <w:sz w:val="32"/>
          <w:szCs w:val="32"/>
          <w:lang w:val="en-US" w:eastAsia="zh-CN"/>
        </w:rPr>
        <w:t>5</w:t>
      </w:r>
      <w:r>
        <w:rPr>
          <w:rFonts w:hint="eastAsia" w:ascii="方正小标宋简体" w:hAnsi="仿宋" w:eastAsia="方正小标宋简体" w:cs="方正仿宋简体"/>
          <w:color w:val="auto"/>
          <w:sz w:val="32"/>
          <w:szCs w:val="32"/>
        </w:rPr>
        <w:t>年版）</w:t>
      </w:r>
    </w:p>
    <w:p w14:paraId="56D307E7">
      <w:pPr>
        <w:snapToGrid w:val="0"/>
        <w:spacing w:line="440" w:lineRule="exact"/>
        <w:rPr>
          <w:rFonts w:eastAsia="方正小标宋简体"/>
          <w:color w:val="auto"/>
          <w:szCs w:val="21"/>
        </w:rPr>
      </w:pPr>
    </w:p>
    <w:p w14:paraId="15349890">
      <w:pPr>
        <w:snapToGrid w:val="0"/>
        <w:spacing w:line="440" w:lineRule="exact"/>
        <w:rPr>
          <w:rFonts w:ascii="黑体" w:hAnsi="宋体" w:eastAsia="黑体"/>
          <w:color w:val="auto"/>
          <w:szCs w:val="21"/>
        </w:rPr>
      </w:pPr>
      <w:r>
        <w:rPr>
          <w:rFonts w:hint="eastAsia" w:ascii="黑体" w:hAnsi="宋体" w:eastAsia="黑体"/>
          <w:color w:val="auto"/>
          <w:szCs w:val="21"/>
        </w:rPr>
        <w:t>1 抽样方法</w:t>
      </w:r>
      <w:bookmarkStart w:id="0" w:name="_GoBack"/>
      <w:bookmarkEnd w:id="0"/>
    </w:p>
    <w:p w14:paraId="729F0308">
      <w:pPr>
        <w:snapToGrid w:val="0"/>
        <w:spacing w:line="440" w:lineRule="exact"/>
        <w:ind w:firstLine="420" w:firstLineChars="200"/>
        <w:rPr>
          <w:rFonts w:ascii="宋体" w:hAnsi="宋体"/>
          <w:color w:val="auto"/>
          <w:szCs w:val="21"/>
        </w:rPr>
      </w:pPr>
      <w:r>
        <w:rPr>
          <w:rFonts w:hint="eastAsia" w:ascii="宋体" w:hAnsi="宋体"/>
          <w:color w:val="auto"/>
          <w:szCs w:val="21"/>
        </w:rPr>
        <w:t>以随机抽样的方式在被抽样生产者、销售者的待销产品中抽取。</w:t>
      </w:r>
    </w:p>
    <w:p w14:paraId="739C1819">
      <w:pPr>
        <w:snapToGrid w:val="0"/>
        <w:spacing w:line="440" w:lineRule="exact"/>
        <w:ind w:firstLine="420" w:firstLineChars="200"/>
        <w:rPr>
          <w:rFonts w:ascii="宋体" w:hAnsi="宋体"/>
          <w:color w:val="auto"/>
          <w:szCs w:val="21"/>
        </w:rPr>
      </w:pPr>
      <w:r>
        <w:rPr>
          <w:rFonts w:hint="eastAsia" w:ascii="宋体" w:hAnsi="宋体"/>
          <w:color w:val="auto"/>
          <w:szCs w:val="21"/>
        </w:rPr>
        <w:t>随机数一般可使用随机数表等方法产生。</w:t>
      </w:r>
    </w:p>
    <w:p w14:paraId="3AFD668F">
      <w:pPr>
        <w:snapToGrid w:val="0"/>
        <w:spacing w:line="440" w:lineRule="exact"/>
        <w:ind w:firstLine="420" w:firstLineChars="200"/>
        <w:rPr>
          <w:rFonts w:ascii="宋体" w:hAnsi="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每批次</w:t>
      </w:r>
      <w:r>
        <w:rPr>
          <w:rFonts w:hint="eastAsia" w:ascii="宋体" w:hAnsi="宋体"/>
          <w:color w:val="000000" w:themeColor="text1"/>
          <w:szCs w:val="21"/>
          <w14:textFill>
            <w14:solidFill>
              <w14:schemeClr w14:val="tx1"/>
            </w14:solidFill>
          </w14:textFill>
        </w:rPr>
        <w:t>抽取样品</w:t>
      </w:r>
      <w:r>
        <w:rPr>
          <w:rFonts w:ascii="宋体" w:hAnsi="宋体"/>
          <w:color w:val="000000" w:themeColor="text1"/>
          <w:szCs w:val="21"/>
          <w14:textFill>
            <w14:solidFill>
              <w14:schemeClr w14:val="tx1"/>
            </w14:solidFill>
          </w14:textFill>
        </w:rPr>
        <w:t>4</w:t>
      </w:r>
      <w:r>
        <w:rPr>
          <w:rFonts w:hint="eastAsia" w:ascii="宋体" w:hAnsi="宋体"/>
          <w:color w:val="000000" w:themeColor="text1"/>
          <w:szCs w:val="21"/>
          <w14:textFill>
            <w14:solidFill>
              <w14:schemeClr w14:val="tx1"/>
            </w14:solidFill>
          </w14:textFill>
        </w:rPr>
        <w:t>台，其中</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台作为检验样品，</w:t>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台作为备用样品。</w:t>
      </w:r>
    </w:p>
    <w:p w14:paraId="6FEC9140">
      <w:pPr>
        <w:snapToGrid w:val="0"/>
        <w:spacing w:line="440" w:lineRule="exact"/>
        <w:ind w:firstLine="420" w:firstLineChars="200"/>
        <w:rPr>
          <w:rFonts w:ascii="宋体" w:hAnsi="宋体"/>
          <w:color w:val="auto"/>
          <w:szCs w:val="21"/>
        </w:rPr>
      </w:pPr>
    </w:p>
    <w:p w14:paraId="78B05485">
      <w:pPr>
        <w:snapToGrid w:val="0"/>
        <w:spacing w:line="440" w:lineRule="exact"/>
        <w:rPr>
          <w:rFonts w:ascii="黑体" w:hAnsi="宋体" w:eastAsia="黑体"/>
          <w:color w:val="auto"/>
          <w:szCs w:val="21"/>
        </w:rPr>
      </w:pPr>
      <w:r>
        <w:rPr>
          <w:rFonts w:hint="eastAsia" w:ascii="黑体" w:hAnsi="宋体" w:eastAsia="黑体"/>
          <w:color w:val="auto"/>
          <w:szCs w:val="21"/>
        </w:rPr>
        <w:t>2 检验依据</w:t>
      </w:r>
    </w:p>
    <w:p w14:paraId="106E2187">
      <w:pPr>
        <w:snapToGrid w:val="0"/>
        <w:spacing w:line="44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表1 检验项目</w:t>
      </w:r>
    </w:p>
    <w:tbl>
      <w:tblPr>
        <w:tblStyle w:val="5"/>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4394"/>
        <w:gridCol w:w="3260"/>
      </w:tblGrid>
      <w:tr w14:paraId="2C580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12D2B14B">
            <w:pPr>
              <w:snapToGrid w:val="0"/>
              <w:spacing w:line="44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序号</w:t>
            </w:r>
          </w:p>
        </w:tc>
        <w:tc>
          <w:tcPr>
            <w:tcW w:w="4394" w:type="dxa"/>
            <w:vAlign w:val="center"/>
          </w:tcPr>
          <w:p w14:paraId="61D6D6C4">
            <w:pPr>
              <w:snapToGrid w:val="0"/>
              <w:spacing w:line="44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检验项目</w:t>
            </w:r>
          </w:p>
        </w:tc>
        <w:tc>
          <w:tcPr>
            <w:tcW w:w="3260" w:type="dxa"/>
            <w:vAlign w:val="center"/>
          </w:tcPr>
          <w:p w14:paraId="0F10614C">
            <w:pPr>
              <w:snapToGrid w:val="0"/>
              <w:spacing w:line="44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检验方法</w:t>
            </w:r>
          </w:p>
        </w:tc>
      </w:tr>
      <w:tr w14:paraId="63E12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11446C1E">
            <w:pPr>
              <w:snapToGrid w:val="0"/>
              <w:spacing w:line="440" w:lineRule="exact"/>
              <w:jc w:val="center"/>
              <w:rPr>
                <w:rFonts w:asciiTheme="minorEastAsia" w:hAnsiTheme="minorEastAsia" w:eastAsiaTheme="minorEastAsia"/>
                <w:color w:val="auto"/>
                <w:szCs w:val="21"/>
              </w:rPr>
            </w:pPr>
            <w:r>
              <w:rPr>
                <w:rFonts w:asciiTheme="minorEastAsia" w:hAnsiTheme="minorEastAsia" w:eastAsiaTheme="minorEastAsia"/>
                <w:color w:val="auto"/>
                <w:szCs w:val="21"/>
              </w:rPr>
              <w:t>1</w:t>
            </w:r>
          </w:p>
        </w:tc>
        <w:tc>
          <w:tcPr>
            <w:tcW w:w="4394" w:type="dxa"/>
            <w:vAlign w:val="center"/>
          </w:tcPr>
          <w:p w14:paraId="292E273F">
            <w:pPr>
              <w:snapToGrid w:val="0"/>
              <w:spacing w:line="440" w:lineRule="exact"/>
              <w:jc w:val="center"/>
              <w:rPr>
                <w:rFonts w:asciiTheme="minorEastAsia" w:hAnsiTheme="minorEastAsia" w:eastAsiaTheme="minorEastAsia"/>
                <w:color w:val="auto"/>
                <w:szCs w:val="21"/>
              </w:rPr>
            </w:pPr>
            <w:r>
              <w:rPr>
                <w:rFonts w:asciiTheme="minorEastAsia" w:hAnsiTheme="minorEastAsia" w:eastAsiaTheme="minorEastAsia"/>
                <w:color w:val="auto"/>
                <w:szCs w:val="21"/>
              </w:rPr>
              <w:t>常温下的有效输出容量</w:t>
            </w:r>
          </w:p>
        </w:tc>
        <w:tc>
          <w:tcPr>
            <w:tcW w:w="3260" w:type="dxa"/>
            <w:vAlign w:val="center"/>
          </w:tcPr>
          <w:p w14:paraId="26E6D892">
            <w:pPr>
              <w:snapToGrid w:val="0"/>
              <w:jc w:val="center"/>
              <w:rPr>
                <w:rFonts w:asciiTheme="minorEastAsia" w:hAnsiTheme="minorEastAsia" w:eastAsiaTheme="minorEastAsia"/>
                <w:color w:val="auto"/>
                <w:szCs w:val="21"/>
              </w:rPr>
            </w:pPr>
            <w:r>
              <w:rPr>
                <w:rFonts w:asciiTheme="minorEastAsia" w:hAnsiTheme="minorEastAsia" w:eastAsiaTheme="minorEastAsia"/>
                <w:color w:val="auto"/>
                <w:szCs w:val="21"/>
              </w:rPr>
              <w:t>GB/T 35590—2017</w:t>
            </w:r>
          </w:p>
        </w:tc>
      </w:tr>
      <w:tr w14:paraId="76E70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4D82A85C">
            <w:pPr>
              <w:snapToGrid w:val="0"/>
              <w:spacing w:line="440" w:lineRule="exact"/>
              <w:jc w:val="center"/>
              <w:rPr>
                <w:rFonts w:asciiTheme="minorEastAsia" w:hAnsiTheme="minorEastAsia" w:eastAsiaTheme="minorEastAsia"/>
                <w:color w:val="auto"/>
                <w:szCs w:val="21"/>
              </w:rPr>
            </w:pPr>
            <w:r>
              <w:rPr>
                <w:rFonts w:asciiTheme="minorEastAsia" w:hAnsiTheme="minorEastAsia" w:eastAsiaTheme="minorEastAsia"/>
                <w:color w:val="auto"/>
                <w:szCs w:val="21"/>
              </w:rPr>
              <w:t>2</w:t>
            </w:r>
          </w:p>
        </w:tc>
        <w:tc>
          <w:tcPr>
            <w:tcW w:w="4394" w:type="dxa"/>
            <w:vAlign w:val="center"/>
          </w:tcPr>
          <w:p w14:paraId="5596B1DE">
            <w:pPr>
              <w:snapToGrid w:val="0"/>
              <w:spacing w:line="440" w:lineRule="exact"/>
              <w:jc w:val="center"/>
              <w:rPr>
                <w:rFonts w:asciiTheme="minorEastAsia" w:hAnsiTheme="minorEastAsia" w:eastAsiaTheme="minorEastAsia"/>
                <w:color w:val="auto"/>
                <w:szCs w:val="21"/>
              </w:rPr>
            </w:pPr>
            <w:r>
              <w:rPr>
                <w:rFonts w:asciiTheme="minorEastAsia" w:hAnsiTheme="minorEastAsia" w:eastAsiaTheme="minorEastAsia"/>
                <w:color w:val="auto"/>
                <w:szCs w:val="21"/>
              </w:rPr>
              <w:t>转换效率</w:t>
            </w:r>
          </w:p>
        </w:tc>
        <w:tc>
          <w:tcPr>
            <w:tcW w:w="3260" w:type="dxa"/>
            <w:vAlign w:val="center"/>
          </w:tcPr>
          <w:p w14:paraId="785D0ADE">
            <w:pPr>
              <w:snapToGrid w:val="0"/>
              <w:spacing w:line="440" w:lineRule="exact"/>
              <w:jc w:val="center"/>
              <w:rPr>
                <w:rFonts w:asciiTheme="minorEastAsia" w:hAnsiTheme="minorEastAsia" w:eastAsiaTheme="minorEastAsia"/>
                <w:color w:val="auto"/>
                <w:szCs w:val="21"/>
              </w:rPr>
            </w:pPr>
            <w:r>
              <w:rPr>
                <w:rFonts w:asciiTheme="minorEastAsia" w:hAnsiTheme="minorEastAsia" w:eastAsiaTheme="minorEastAsia"/>
                <w:color w:val="auto"/>
                <w:szCs w:val="21"/>
              </w:rPr>
              <w:t>GB/T 35590—2017</w:t>
            </w:r>
          </w:p>
        </w:tc>
      </w:tr>
      <w:tr w14:paraId="07996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2C0BA6E2">
            <w:pPr>
              <w:snapToGrid w:val="0"/>
              <w:spacing w:line="440" w:lineRule="exact"/>
              <w:jc w:val="center"/>
              <w:rPr>
                <w:rFonts w:asciiTheme="minorEastAsia" w:hAnsiTheme="minorEastAsia" w:eastAsiaTheme="minorEastAsia"/>
                <w:color w:val="auto"/>
                <w:szCs w:val="21"/>
              </w:rPr>
            </w:pPr>
            <w:r>
              <w:rPr>
                <w:rFonts w:asciiTheme="minorEastAsia" w:hAnsiTheme="minorEastAsia" w:eastAsiaTheme="minorEastAsia"/>
                <w:color w:val="auto"/>
                <w:szCs w:val="21"/>
              </w:rPr>
              <w:t>3</w:t>
            </w:r>
          </w:p>
        </w:tc>
        <w:tc>
          <w:tcPr>
            <w:tcW w:w="4394" w:type="dxa"/>
            <w:vAlign w:val="center"/>
          </w:tcPr>
          <w:p w14:paraId="2847F759">
            <w:pPr>
              <w:snapToGrid w:val="0"/>
              <w:spacing w:line="440" w:lineRule="exact"/>
              <w:jc w:val="center"/>
              <w:rPr>
                <w:rFonts w:asciiTheme="minorEastAsia" w:hAnsiTheme="minorEastAsia" w:eastAsiaTheme="minorEastAsia"/>
                <w:color w:val="auto"/>
                <w:szCs w:val="21"/>
              </w:rPr>
            </w:pPr>
            <w:r>
              <w:rPr>
                <w:rFonts w:asciiTheme="minorEastAsia" w:hAnsiTheme="minorEastAsia" w:eastAsiaTheme="minorEastAsia"/>
                <w:color w:val="auto"/>
                <w:szCs w:val="21"/>
              </w:rPr>
              <w:t>输出电压</w:t>
            </w:r>
          </w:p>
        </w:tc>
        <w:tc>
          <w:tcPr>
            <w:tcW w:w="3260" w:type="dxa"/>
            <w:vAlign w:val="center"/>
          </w:tcPr>
          <w:p w14:paraId="040A1B6D">
            <w:pPr>
              <w:snapToGrid w:val="0"/>
              <w:spacing w:line="440" w:lineRule="exact"/>
              <w:jc w:val="center"/>
              <w:rPr>
                <w:rFonts w:asciiTheme="minorEastAsia" w:hAnsiTheme="minorEastAsia" w:eastAsiaTheme="minorEastAsia"/>
                <w:color w:val="auto"/>
                <w:szCs w:val="21"/>
              </w:rPr>
            </w:pPr>
            <w:r>
              <w:rPr>
                <w:rFonts w:asciiTheme="minorEastAsia" w:hAnsiTheme="minorEastAsia" w:eastAsiaTheme="minorEastAsia"/>
                <w:color w:val="auto"/>
                <w:szCs w:val="21"/>
              </w:rPr>
              <w:t>GB/T 35590—2017</w:t>
            </w:r>
          </w:p>
        </w:tc>
      </w:tr>
      <w:tr w14:paraId="24504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629D8CA9">
            <w:pPr>
              <w:snapToGrid w:val="0"/>
              <w:spacing w:line="440" w:lineRule="exact"/>
              <w:jc w:val="center"/>
              <w:rPr>
                <w:rFonts w:asciiTheme="minorEastAsia" w:hAnsiTheme="minorEastAsia" w:eastAsiaTheme="minorEastAsia"/>
                <w:color w:val="auto"/>
                <w:szCs w:val="21"/>
              </w:rPr>
            </w:pPr>
            <w:r>
              <w:rPr>
                <w:rFonts w:asciiTheme="minorEastAsia" w:hAnsiTheme="minorEastAsia" w:eastAsiaTheme="minorEastAsia"/>
                <w:color w:val="auto"/>
                <w:szCs w:val="21"/>
              </w:rPr>
              <w:t>4</w:t>
            </w:r>
          </w:p>
        </w:tc>
        <w:tc>
          <w:tcPr>
            <w:tcW w:w="4394" w:type="dxa"/>
            <w:vAlign w:val="center"/>
          </w:tcPr>
          <w:p w14:paraId="4B842581">
            <w:pPr>
              <w:snapToGrid w:val="0"/>
              <w:spacing w:line="440" w:lineRule="exact"/>
              <w:jc w:val="center"/>
              <w:rPr>
                <w:rFonts w:asciiTheme="minorEastAsia" w:hAnsiTheme="minorEastAsia" w:eastAsiaTheme="minorEastAsia"/>
                <w:color w:val="auto"/>
                <w:szCs w:val="21"/>
              </w:rPr>
            </w:pPr>
            <w:r>
              <w:rPr>
                <w:rFonts w:asciiTheme="minorEastAsia" w:hAnsiTheme="minorEastAsia" w:eastAsiaTheme="minorEastAsia"/>
                <w:color w:val="auto"/>
                <w:szCs w:val="21"/>
              </w:rPr>
              <w:t>短路保护</w:t>
            </w:r>
          </w:p>
        </w:tc>
        <w:tc>
          <w:tcPr>
            <w:tcW w:w="3260" w:type="dxa"/>
            <w:vAlign w:val="center"/>
          </w:tcPr>
          <w:p w14:paraId="5C05DC36">
            <w:pPr>
              <w:snapToGrid w:val="0"/>
              <w:spacing w:line="440" w:lineRule="exact"/>
              <w:jc w:val="center"/>
              <w:rPr>
                <w:rFonts w:asciiTheme="minorEastAsia" w:hAnsiTheme="minorEastAsia" w:eastAsiaTheme="minorEastAsia"/>
                <w:color w:val="auto"/>
                <w:szCs w:val="21"/>
              </w:rPr>
            </w:pPr>
            <w:r>
              <w:rPr>
                <w:rFonts w:asciiTheme="minorEastAsia" w:hAnsiTheme="minorEastAsia" w:eastAsiaTheme="minorEastAsia"/>
                <w:color w:val="auto"/>
                <w:szCs w:val="21"/>
              </w:rPr>
              <w:t>GB/T 35590—2017</w:t>
            </w:r>
          </w:p>
        </w:tc>
      </w:tr>
      <w:tr w14:paraId="6000B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7E450B8E">
            <w:pPr>
              <w:snapToGrid w:val="0"/>
              <w:spacing w:line="440" w:lineRule="exact"/>
              <w:jc w:val="center"/>
              <w:rPr>
                <w:rFonts w:asciiTheme="minorEastAsia" w:hAnsiTheme="minorEastAsia" w:eastAsiaTheme="minorEastAsia"/>
                <w:color w:val="auto"/>
                <w:szCs w:val="21"/>
              </w:rPr>
            </w:pPr>
            <w:r>
              <w:rPr>
                <w:rFonts w:asciiTheme="minorEastAsia" w:hAnsiTheme="minorEastAsia" w:eastAsiaTheme="minorEastAsia"/>
                <w:color w:val="auto"/>
                <w:szCs w:val="21"/>
              </w:rPr>
              <w:t>5</w:t>
            </w:r>
          </w:p>
        </w:tc>
        <w:tc>
          <w:tcPr>
            <w:tcW w:w="4394" w:type="dxa"/>
            <w:vAlign w:val="center"/>
          </w:tcPr>
          <w:p w14:paraId="5C1B14A9">
            <w:pPr>
              <w:snapToGrid w:val="0"/>
              <w:spacing w:line="440" w:lineRule="exact"/>
              <w:jc w:val="center"/>
              <w:rPr>
                <w:rFonts w:asciiTheme="minorEastAsia" w:hAnsiTheme="minorEastAsia" w:eastAsiaTheme="minorEastAsia"/>
                <w:color w:val="auto"/>
                <w:szCs w:val="21"/>
              </w:rPr>
            </w:pPr>
            <w:r>
              <w:rPr>
                <w:rFonts w:asciiTheme="minorEastAsia" w:hAnsiTheme="minorEastAsia" w:eastAsiaTheme="minorEastAsia"/>
                <w:color w:val="auto"/>
                <w:szCs w:val="21"/>
              </w:rPr>
              <w:t>自由跌落</w:t>
            </w:r>
          </w:p>
        </w:tc>
        <w:tc>
          <w:tcPr>
            <w:tcW w:w="3260" w:type="dxa"/>
            <w:vAlign w:val="center"/>
          </w:tcPr>
          <w:p w14:paraId="69538649">
            <w:pPr>
              <w:snapToGrid w:val="0"/>
              <w:spacing w:line="440" w:lineRule="exact"/>
              <w:jc w:val="center"/>
              <w:rPr>
                <w:rFonts w:asciiTheme="minorEastAsia" w:hAnsiTheme="minorEastAsia" w:eastAsiaTheme="minorEastAsia"/>
                <w:color w:val="auto"/>
                <w:szCs w:val="21"/>
              </w:rPr>
            </w:pPr>
            <w:r>
              <w:rPr>
                <w:rFonts w:asciiTheme="minorEastAsia" w:hAnsiTheme="minorEastAsia" w:eastAsiaTheme="minorEastAsia"/>
                <w:color w:val="auto"/>
                <w:szCs w:val="21"/>
              </w:rPr>
              <w:t>GB/T 35590—2017</w:t>
            </w:r>
          </w:p>
        </w:tc>
      </w:tr>
      <w:tr w14:paraId="76BE1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43E9C558">
            <w:pPr>
              <w:snapToGrid w:val="0"/>
              <w:spacing w:line="440" w:lineRule="exact"/>
              <w:jc w:val="center"/>
              <w:rPr>
                <w:rFonts w:asciiTheme="minorEastAsia" w:hAnsiTheme="minorEastAsia" w:eastAsiaTheme="minorEastAsia"/>
                <w:color w:val="auto"/>
                <w:szCs w:val="21"/>
              </w:rPr>
            </w:pPr>
            <w:r>
              <w:rPr>
                <w:rFonts w:asciiTheme="minorEastAsia" w:hAnsiTheme="minorEastAsia" w:eastAsiaTheme="minorEastAsia"/>
                <w:color w:val="auto"/>
                <w:szCs w:val="21"/>
              </w:rPr>
              <w:t>6</w:t>
            </w:r>
          </w:p>
        </w:tc>
        <w:tc>
          <w:tcPr>
            <w:tcW w:w="4394" w:type="dxa"/>
            <w:vAlign w:val="center"/>
          </w:tcPr>
          <w:p w14:paraId="4D602AE9">
            <w:pPr>
              <w:snapToGrid w:val="0"/>
              <w:spacing w:line="440" w:lineRule="exact"/>
              <w:jc w:val="center"/>
              <w:rPr>
                <w:rFonts w:asciiTheme="minorEastAsia" w:hAnsiTheme="minorEastAsia" w:eastAsiaTheme="minorEastAsia"/>
                <w:color w:val="auto"/>
                <w:szCs w:val="21"/>
              </w:rPr>
            </w:pPr>
            <w:r>
              <w:rPr>
                <w:rFonts w:asciiTheme="minorEastAsia" w:hAnsiTheme="minorEastAsia" w:eastAsiaTheme="minorEastAsia"/>
                <w:color w:val="auto"/>
                <w:szCs w:val="21"/>
              </w:rPr>
              <w:t>过充电</w:t>
            </w:r>
          </w:p>
        </w:tc>
        <w:tc>
          <w:tcPr>
            <w:tcW w:w="3260" w:type="dxa"/>
            <w:vAlign w:val="center"/>
          </w:tcPr>
          <w:p w14:paraId="23798EA6">
            <w:pPr>
              <w:snapToGrid w:val="0"/>
              <w:spacing w:line="440" w:lineRule="exact"/>
              <w:jc w:val="center"/>
              <w:rPr>
                <w:rFonts w:asciiTheme="minorEastAsia" w:hAnsiTheme="minorEastAsia" w:eastAsiaTheme="minorEastAsia"/>
                <w:color w:val="auto"/>
                <w:szCs w:val="21"/>
              </w:rPr>
            </w:pPr>
            <w:r>
              <w:rPr>
                <w:rFonts w:asciiTheme="minorEastAsia" w:hAnsiTheme="minorEastAsia" w:eastAsiaTheme="minorEastAsia"/>
                <w:color w:val="auto"/>
                <w:szCs w:val="21"/>
              </w:rPr>
              <w:t>GB 31241-2022</w:t>
            </w:r>
          </w:p>
        </w:tc>
      </w:tr>
      <w:tr w14:paraId="3AA65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1A220CDB">
            <w:pPr>
              <w:snapToGrid w:val="0"/>
              <w:spacing w:line="440" w:lineRule="exact"/>
              <w:jc w:val="center"/>
              <w:rPr>
                <w:rFonts w:asciiTheme="minorEastAsia" w:hAnsiTheme="minorEastAsia" w:eastAsiaTheme="minorEastAsia"/>
                <w:color w:val="auto"/>
                <w:szCs w:val="21"/>
              </w:rPr>
            </w:pPr>
            <w:r>
              <w:rPr>
                <w:rFonts w:asciiTheme="minorEastAsia" w:hAnsiTheme="minorEastAsia" w:eastAsiaTheme="minorEastAsia"/>
                <w:color w:val="auto"/>
                <w:szCs w:val="21"/>
              </w:rPr>
              <w:t>7</w:t>
            </w:r>
          </w:p>
        </w:tc>
        <w:tc>
          <w:tcPr>
            <w:tcW w:w="4394" w:type="dxa"/>
            <w:vAlign w:val="center"/>
          </w:tcPr>
          <w:p w14:paraId="28D5ABCA">
            <w:pPr>
              <w:snapToGrid w:val="0"/>
              <w:spacing w:line="440" w:lineRule="exact"/>
              <w:jc w:val="center"/>
              <w:rPr>
                <w:rFonts w:asciiTheme="minorEastAsia" w:hAnsiTheme="minorEastAsia" w:eastAsiaTheme="minorEastAsia"/>
                <w:color w:val="auto"/>
                <w:szCs w:val="21"/>
              </w:rPr>
            </w:pPr>
            <w:r>
              <w:rPr>
                <w:rFonts w:asciiTheme="minorEastAsia" w:hAnsiTheme="minorEastAsia" w:eastAsiaTheme="minorEastAsia"/>
                <w:color w:val="auto"/>
                <w:szCs w:val="21"/>
              </w:rPr>
              <w:t>接触温度限值</w:t>
            </w:r>
          </w:p>
        </w:tc>
        <w:tc>
          <w:tcPr>
            <w:tcW w:w="3260" w:type="dxa"/>
            <w:vAlign w:val="center"/>
          </w:tcPr>
          <w:p w14:paraId="5D58680C">
            <w:pPr>
              <w:snapToGrid w:val="0"/>
              <w:spacing w:line="440" w:lineRule="exact"/>
              <w:jc w:val="center"/>
              <w:rPr>
                <w:rFonts w:asciiTheme="minorEastAsia" w:hAnsiTheme="minorEastAsia" w:eastAsiaTheme="minorEastAsia"/>
                <w:color w:val="auto"/>
                <w:szCs w:val="21"/>
              </w:rPr>
            </w:pPr>
            <w:r>
              <w:rPr>
                <w:rFonts w:asciiTheme="minorEastAsia" w:hAnsiTheme="minorEastAsia" w:eastAsiaTheme="minorEastAsia"/>
                <w:color w:val="auto"/>
                <w:szCs w:val="21"/>
              </w:rPr>
              <w:t>GB 4943.1—2022</w:t>
            </w:r>
          </w:p>
        </w:tc>
      </w:tr>
    </w:tbl>
    <w:p w14:paraId="523FA2CF">
      <w:pPr>
        <w:adjustRightInd w:val="0"/>
        <w:snapToGrid w:val="0"/>
        <w:spacing w:line="440" w:lineRule="exact"/>
        <w:ind w:firstLine="420" w:firstLineChars="200"/>
        <w:rPr>
          <w:rFonts w:ascii="宋体" w:hAnsi="宋体"/>
          <w:color w:val="auto"/>
          <w:szCs w:val="21"/>
        </w:rPr>
      </w:pPr>
      <w:r>
        <w:rPr>
          <w:rFonts w:hint="eastAsia"/>
          <w:color w:val="auto"/>
          <w:szCs w:val="21"/>
        </w:rPr>
        <w:t>执行企业标准、团体标准、地方标准的产品，检验项目参照上述内容执行。</w:t>
      </w:r>
    </w:p>
    <w:p w14:paraId="418FC3B8">
      <w:pPr>
        <w:spacing w:line="360" w:lineRule="auto"/>
        <w:ind w:firstLine="420" w:firstLineChars="200"/>
        <w:rPr>
          <w:rFonts w:ascii="宋体" w:hAnsi="宋体"/>
          <w:color w:val="auto"/>
          <w:szCs w:val="21"/>
        </w:rPr>
      </w:pPr>
      <w:r>
        <w:rPr>
          <w:rFonts w:hint="eastAsia" w:ascii="宋体" w:hAnsi="宋体"/>
          <w:color w:val="auto"/>
          <w:szCs w:val="21"/>
        </w:rPr>
        <w:t>凡是注日期的文件，其随后所有的修改单（不包括勘误的内容）或修订版不适用于本细则。凡是不注日期的文件，其最新版本适用于本细则。</w:t>
      </w:r>
    </w:p>
    <w:p w14:paraId="3F267B96">
      <w:pPr>
        <w:spacing w:line="360" w:lineRule="auto"/>
        <w:ind w:firstLine="420" w:firstLineChars="200"/>
        <w:rPr>
          <w:rFonts w:ascii="宋体" w:hAnsi="宋体"/>
          <w:color w:val="auto"/>
          <w:szCs w:val="21"/>
        </w:rPr>
      </w:pPr>
    </w:p>
    <w:p w14:paraId="5E996F7F">
      <w:pPr>
        <w:spacing w:line="360" w:lineRule="auto"/>
        <w:rPr>
          <w:rFonts w:ascii="黑体" w:hAnsi="黑体" w:eastAsia="黑体"/>
          <w:color w:val="auto"/>
          <w:szCs w:val="21"/>
        </w:rPr>
      </w:pPr>
      <w:r>
        <w:rPr>
          <w:rFonts w:hint="eastAsia" w:ascii="黑体" w:hAnsi="黑体" w:eastAsia="黑体"/>
          <w:color w:val="auto"/>
          <w:szCs w:val="21"/>
        </w:rPr>
        <w:t>3 判定规则</w:t>
      </w:r>
    </w:p>
    <w:p w14:paraId="207BDA86">
      <w:pPr>
        <w:snapToGrid w:val="0"/>
        <w:spacing w:line="440" w:lineRule="exact"/>
        <w:rPr>
          <w:rFonts w:ascii="宋体" w:hAnsi="宋体"/>
          <w:color w:val="auto"/>
          <w:szCs w:val="21"/>
        </w:rPr>
      </w:pPr>
      <w:r>
        <w:rPr>
          <w:rFonts w:hint="eastAsia" w:ascii="宋体" w:hAnsi="宋体"/>
          <w:color w:val="auto"/>
          <w:szCs w:val="21"/>
        </w:rPr>
        <w:t>3.1依据标准</w:t>
      </w:r>
    </w:p>
    <w:p w14:paraId="02015502">
      <w:pPr>
        <w:snapToGrid w:val="0"/>
        <w:spacing w:line="440" w:lineRule="exact"/>
        <w:ind w:firstLine="420" w:firstLineChars="200"/>
        <w:rPr>
          <w:rFonts w:ascii="宋体" w:hAnsi="宋体"/>
          <w:color w:val="auto"/>
          <w:szCs w:val="21"/>
        </w:rPr>
      </w:pPr>
      <w:r>
        <w:rPr>
          <w:rFonts w:hint="eastAsia" w:ascii="宋体" w:hAnsi="宋体"/>
          <w:color w:val="auto"/>
          <w:szCs w:val="21"/>
        </w:rPr>
        <w:t>GB 4943.1-2022  音视频、信息技术和通信技术设备 第1部分：安全要求</w:t>
      </w:r>
    </w:p>
    <w:p w14:paraId="5DE085D0">
      <w:pPr>
        <w:snapToGrid w:val="0"/>
        <w:spacing w:line="440" w:lineRule="exact"/>
        <w:ind w:firstLine="420" w:firstLineChars="200"/>
        <w:rPr>
          <w:rFonts w:ascii="宋体" w:hAnsi="宋体"/>
          <w:color w:val="auto"/>
          <w:szCs w:val="21"/>
        </w:rPr>
      </w:pPr>
      <w:r>
        <w:rPr>
          <w:rFonts w:hint="eastAsia" w:ascii="宋体" w:hAnsi="宋体"/>
          <w:color w:val="auto"/>
          <w:szCs w:val="21"/>
        </w:rPr>
        <w:t>GB/T 35590-2017  信息技术便携式数字设备用移动电源通用规范</w:t>
      </w:r>
    </w:p>
    <w:p w14:paraId="09F147CA">
      <w:pPr>
        <w:snapToGrid w:val="0"/>
        <w:spacing w:line="440" w:lineRule="exact"/>
        <w:ind w:firstLine="420" w:firstLineChars="200"/>
        <w:rPr>
          <w:rFonts w:ascii="宋体" w:hAnsi="宋体"/>
          <w:color w:val="auto"/>
          <w:szCs w:val="21"/>
        </w:rPr>
      </w:pPr>
      <w:r>
        <w:rPr>
          <w:rFonts w:ascii="宋体" w:hAnsi="宋体"/>
          <w:color w:val="auto"/>
          <w:szCs w:val="21"/>
        </w:rPr>
        <w:t>GB 31241—2022 便携式电子产品用锂离子电池和电池组 安全技术规范</w:t>
      </w:r>
    </w:p>
    <w:p w14:paraId="45BD29C7">
      <w:pPr>
        <w:snapToGrid w:val="0"/>
        <w:spacing w:line="440" w:lineRule="exact"/>
        <w:ind w:firstLine="420" w:firstLineChars="200"/>
        <w:rPr>
          <w:rFonts w:ascii="宋体" w:hAnsi="宋体"/>
          <w:color w:val="auto"/>
          <w:szCs w:val="21"/>
        </w:rPr>
      </w:pPr>
      <w:r>
        <w:rPr>
          <w:rFonts w:hint="eastAsia" w:ascii="宋体" w:hAnsi="宋体"/>
          <w:color w:val="auto"/>
          <w:szCs w:val="21"/>
        </w:rPr>
        <w:t>现行有效的企业标准、团体标准、地方标准及产品明示质量要求</w:t>
      </w:r>
    </w:p>
    <w:p w14:paraId="43934952">
      <w:pPr>
        <w:snapToGrid w:val="0"/>
        <w:spacing w:line="440" w:lineRule="exact"/>
        <w:rPr>
          <w:rFonts w:ascii="宋体" w:hAnsi="宋体"/>
          <w:color w:val="auto"/>
          <w:szCs w:val="21"/>
        </w:rPr>
      </w:pPr>
      <w:r>
        <w:rPr>
          <w:rFonts w:hint="eastAsia" w:ascii="宋体" w:hAnsi="宋体"/>
          <w:color w:val="auto"/>
          <w:szCs w:val="21"/>
        </w:rPr>
        <w:t>3.2判定原则</w:t>
      </w:r>
    </w:p>
    <w:p w14:paraId="4C7F6B1D">
      <w:pPr>
        <w:snapToGrid w:val="0"/>
        <w:spacing w:line="440" w:lineRule="exact"/>
        <w:ind w:firstLine="420" w:firstLineChars="200"/>
        <w:rPr>
          <w:rFonts w:ascii="宋体" w:hAnsi="宋体"/>
          <w:color w:val="auto"/>
          <w:szCs w:val="21"/>
        </w:rPr>
      </w:pPr>
      <w:r>
        <w:rPr>
          <w:rFonts w:hint="eastAsia" w:ascii="宋体" w:hAnsi="宋体"/>
          <w:color w:val="auto"/>
          <w:szCs w:val="21"/>
        </w:rPr>
        <w:t>经检验，检验项目全部合格，判定为被抽查产品所检项目未发现不合格；检验项目中任一项或一项以上不合格，判定为被抽查产品不合格。</w:t>
      </w:r>
    </w:p>
    <w:p w14:paraId="522ADB61">
      <w:pPr>
        <w:snapToGrid w:val="0"/>
        <w:spacing w:line="440" w:lineRule="exact"/>
        <w:ind w:firstLine="420" w:firstLineChars="200"/>
        <w:rPr>
          <w:rFonts w:ascii="宋体" w:hAnsi="宋体"/>
          <w:color w:val="auto"/>
          <w:szCs w:val="21"/>
        </w:rPr>
      </w:pPr>
      <w:r>
        <w:rPr>
          <w:rFonts w:hint="eastAsia" w:ascii="宋体" w:hAnsi="宋体"/>
          <w:color w:val="auto"/>
          <w:szCs w:val="21"/>
        </w:rPr>
        <w:t>若被检产品明示的质量要求高于本细则中检验项目依据的标准要求时，应按被检产品明示的质量要求判定。</w:t>
      </w:r>
    </w:p>
    <w:p w14:paraId="09395123">
      <w:pPr>
        <w:snapToGrid w:val="0"/>
        <w:spacing w:line="440" w:lineRule="exact"/>
        <w:ind w:firstLine="420" w:firstLineChars="200"/>
        <w:rPr>
          <w:rFonts w:ascii="宋体" w:hAnsi="宋体"/>
          <w:color w:val="auto"/>
          <w:szCs w:val="21"/>
        </w:rPr>
      </w:pPr>
      <w:r>
        <w:rPr>
          <w:rFonts w:hint="eastAsia" w:ascii="宋体" w:hAnsi="宋体"/>
          <w:color w:val="auto"/>
          <w:szCs w:val="21"/>
        </w:rPr>
        <w:t>若被检产品明示的质量要求低于本细则中检验项目依据的强制性标准要求时，应按照强制性标准要求判定。</w:t>
      </w:r>
    </w:p>
    <w:p w14:paraId="6B2EA493">
      <w:pPr>
        <w:snapToGrid w:val="0"/>
        <w:spacing w:line="440" w:lineRule="exact"/>
        <w:ind w:firstLine="420" w:firstLineChars="200"/>
        <w:rPr>
          <w:rFonts w:ascii="宋体" w:hAnsi="宋体"/>
          <w:color w:val="auto"/>
          <w:szCs w:val="21"/>
        </w:rPr>
      </w:pPr>
      <w:r>
        <w:rPr>
          <w:rFonts w:hint="eastAsia" w:ascii="宋体" w:hAnsi="宋体"/>
          <w:color w:val="auto"/>
          <w:szCs w:val="21"/>
        </w:rPr>
        <w:t>若被检产品明示的质量要求低于或包含本细则中检验项目依据的推荐性标准要求时，应以被检产品明示的质量要求判定。</w:t>
      </w:r>
    </w:p>
    <w:p w14:paraId="2EE95C2C">
      <w:pPr>
        <w:snapToGrid w:val="0"/>
        <w:spacing w:line="440" w:lineRule="exact"/>
        <w:ind w:firstLine="420" w:firstLineChars="200"/>
        <w:rPr>
          <w:rFonts w:ascii="宋体" w:hAnsi="宋体"/>
          <w:color w:val="auto"/>
          <w:szCs w:val="21"/>
        </w:rPr>
      </w:pPr>
      <w:r>
        <w:rPr>
          <w:rFonts w:hint="eastAsia" w:ascii="宋体" w:hAnsi="宋体"/>
          <w:color w:val="auto"/>
          <w:szCs w:val="21"/>
        </w:rPr>
        <w:t>若被检产品明示的质量要求缺少本细则中检验项目依据的强制性标准要求时，应按照强制性标准要求判定。</w:t>
      </w:r>
    </w:p>
    <w:p w14:paraId="43D8F3C8">
      <w:pPr>
        <w:snapToGrid w:val="0"/>
        <w:spacing w:line="440" w:lineRule="exact"/>
        <w:ind w:firstLine="420" w:firstLineChars="200"/>
        <w:rPr>
          <w:rFonts w:ascii="宋体" w:hAnsi="宋体"/>
          <w:color w:val="auto"/>
          <w:szCs w:val="21"/>
        </w:rPr>
      </w:pPr>
      <w:r>
        <w:rPr>
          <w:rFonts w:hint="eastAsia" w:ascii="宋体" w:hAnsi="宋体"/>
          <w:color w:val="auto"/>
          <w:szCs w:val="21"/>
        </w:rPr>
        <w:t>若被检产品明示的质量要求缺少本细则中检验项目依据的推荐性标准要求时，该项目不参与判定。</w:t>
      </w:r>
    </w:p>
    <w:sectPr>
      <w:headerReference r:id="rId3" w:type="default"/>
      <w:footerReference r:id="rId4" w:type="default"/>
      <w:footerReference r:id="rId5" w:type="even"/>
      <w:pgSz w:w="11906" w:h="16838"/>
      <w:pgMar w:top="1984" w:right="1474" w:bottom="1644"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7A96D">
    <w:pPr>
      <w:pStyle w:val="3"/>
      <w:jc w:val="center"/>
    </w:pPr>
    <w:r>
      <w:rPr>
        <w:lang w:val="zh-CN"/>
      </w:rPr>
      <w:fldChar w:fldCharType="begin"/>
    </w:r>
    <w:r>
      <w:rPr>
        <w:lang w:val="zh-CN"/>
      </w:rPr>
      <w:instrText xml:space="preserve"> PAGE   \* MERGEFORMAT </w:instrText>
    </w:r>
    <w:r>
      <w:rPr>
        <w:lang w:val="zh-CN"/>
      </w:rPr>
      <w:fldChar w:fldCharType="separate"/>
    </w:r>
    <w:r>
      <w:t>1</w:t>
    </w:r>
    <w:r>
      <w:rPr>
        <w:lang w:val="zh-CN"/>
      </w:rPr>
      <w:fldChar w:fldCharType="end"/>
    </w:r>
  </w:p>
  <w:p w14:paraId="0D043526">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E167C">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2</w:t>
    </w:r>
    <w:r>
      <w:fldChar w:fldCharType="end"/>
    </w:r>
  </w:p>
  <w:p w14:paraId="7DCDB99F">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97D97">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32"/>
        <w:szCs w:val="32"/>
      </w:rPr>
    </w:lvl>
    <w:lvl w:ilvl="1" w:tentative="0">
      <w:start w:val="1"/>
      <w:numFmt w:val="decimal"/>
      <w:pStyle w:val="11"/>
      <w:suff w:val="nothing"/>
      <w:lvlText w:val="%1%2　"/>
      <w:lvlJc w:val="left"/>
      <w:pPr>
        <w:ind w:left="0" w:firstLine="0"/>
      </w:pPr>
      <w:rPr>
        <w:rFonts w:hint="eastAsia" w:ascii="黑体" w:hAnsi="Times New Roman" w:eastAsia="黑体"/>
        <w:b w:val="0"/>
        <w:i w:val="0"/>
        <w:sz w:val="21"/>
      </w:rPr>
    </w:lvl>
    <w:lvl w:ilvl="2" w:tentative="0">
      <w:start w:val="1"/>
      <w:numFmt w:val="decimal"/>
      <w:pStyle w:val="10"/>
      <w:suff w:val="nothing"/>
      <w:lvlText w:val="%1%2.%3　"/>
      <w:lvlJc w:val="left"/>
      <w:pPr>
        <w:ind w:left="420" w:firstLine="0"/>
      </w:pPr>
    </w:lvl>
    <w:lvl w:ilvl="3" w:tentative="0">
      <w:start w:val="1"/>
      <w:numFmt w:val="decimal"/>
      <w:lvlRestart w:val="1"/>
      <w:suff w:val="nothing"/>
      <w:lvlText w:val="%1%2.%3.%4　"/>
      <w:lvlJc w:val="left"/>
      <w:pPr>
        <w:ind w:left="0" w:firstLine="0"/>
      </w:pPr>
      <w:rPr>
        <w:rFonts w:hint="eastAsia" w:ascii="黑体" w:hAnsi="Times New Roman" w:eastAsia="黑体"/>
        <w:b w:val="0"/>
        <w:i w:val="0"/>
        <w:color w:val="auto"/>
        <w:sz w:val="21"/>
        <w:szCs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2OWU5ODBiYTQ1ZDhlNWNhMGE0ZmQ3OWIzYWVkMDIifQ=="/>
  </w:docVars>
  <w:rsids>
    <w:rsidRoot w:val="423C5385"/>
    <w:rsid w:val="00002142"/>
    <w:rsid w:val="00026B2A"/>
    <w:rsid w:val="000E1EB5"/>
    <w:rsid w:val="00131931"/>
    <w:rsid w:val="001646EF"/>
    <w:rsid w:val="001A654D"/>
    <w:rsid w:val="00213C33"/>
    <w:rsid w:val="002617FC"/>
    <w:rsid w:val="00373BAC"/>
    <w:rsid w:val="003807E2"/>
    <w:rsid w:val="003862F3"/>
    <w:rsid w:val="003E61F1"/>
    <w:rsid w:val="00480692"/>
    <w:rsid w:val="005021AD"/>
    <w:rsid w:val="005443B3"/>
    <w:rsid w:val="0069296E"/>
    <w:rsid w:val="006A1358"/>
    <w:rsid w:val="006C3589"/>
    <w:rsid w:val="00736F2D"/>
    <w:rsid w:val="007A1F31"/>
    <w:rsid w:val="007A24F7"/>
    <w:rsid w:val="007A6BCD"/>
    <w:rsid w:val="0082219A"/>
    <w:rsid w:val="00832392"/>
    <w:rsid w:val="00852C2E"/>
    <w:rsid w:val="00943210"/>
    <w:rsid w:val="009D2CC9"/>
    <w:rsid w:val="00A14CF6"/>
    <w:rsid w:val="00A3111B"/>
    <w:rsid w:val="00A71E49"/>
    <w:rsid w:val="00AC74A2"/>
    <w:rsid w:val="00BC1713"/>
    <w:rsid w:val="00C01DFA"/>
    <w:rsid w:val="00C948A2"/>
    <w:rsid w:val="00CC05FB"/>
    <w:rsid w:val="00EA5934"/>
    <w:rsid w:val="00ED014B"/>
    <w:rsid w:val="00F9120A"/>
    <w:rsid w:val="00FD1D63"/>
    <w:rsid w:val="01B555F8"/>
    <w:rsid w:val="0BEA2C66"/>
    <w:rsid w:val="12497A22"/>
    <w:rsid w:val="161D21D7"/>
    <w:rsid w:val="18A94C5E"/>
    <w:rsid w:val="1EDB105F"/>
    <w:rsid w:val="22C07AC2"/>
    <w:rsid w:val="22E66696"/>
    <w:rsid w:val="2E26295C"/>
    <w:rsid w:val="2F180BFD"/>
    <w:rsid w:val="343706EB"/>
    <w:rsid w:val="376E654E"/>
    <w:rsid w:val="38BA27F0"/>
    <w:rsid w:val="3F927A41"/>
    <w:rsid w:val="401E6AAB"/>
    <w:rsid w:val="423C5385"/>
    <w:rsid w:val="46770EBA"/>
    <w:rsid w:val="4DF729C7"/>
    <w:rsid w:val="4FDC0F3A"/>
    <w:rsid w:val="527821A3"/>
    <w:rsid w:val="53D24E8E"/>
    <w:rsid w:val="5F107F06"/>
    <w:rsid w:val="668B1F0D"/>
    <w:rsid w:val="6ABA2C01"/>
    <w:rsid w:val="6B6E16B4"/>
    <w:rsid w:val="6FF81CD3"/>
    <w:rsid w:val="73721F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rPr>
      <w:kern w:val="0"/>
      <w:sz w:val="24"/>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qFormat/>
    <w:uiPriority w:val="0"/>
  </w:style>
  <w:style w:type="character" w:customStyle="1" w:styleId="8">
    <w:name w:val="font21"/>
    <w:qFormat/>
    <w:uiPriority w:val="0"/>
    <w:rPr>
      <w:rFonts w:hint="default" w:ascii="Times New Roman" w:hAnsi="Times New Roman" w:cs="Times New Roman"/>
      <w:color w:val="000000"/>
      <w:sz w:val="21"/>
      <w:szCs w:val="21"/>
      <w:u w:val="none"/>
    </w:rPr>
  </w:style>
  <w:style w:type="character" w:customStyle="1" w:styleId="9">
    <w:name w:val="font11"/>
    <w:qFormat/>
    <w:uiPriority w:val="0"/>
    <w:rPr>
      <w:rFonts w:hint="eastAsia" w:ascii="宋体" w:hAnsi="宋体" w:eastAsia="宋体" w:cs="宋体"/>
      <w:color w:val="000000"/>
      <w:sz w:val="21"/>
      <w:szCs w:val="21"/>
      <w:u w:val="none"/>
    </w:rPr>
  </w:style>
  <w:style w:type="paragraph" w:customStyle="1" w:styleId="10">
    <w:name w:val="一级条标题"/>
    <w:basedOn w:val="11"/>
    <w:next w:val="1"/>
    <w:qFormat/>
    <w:uiPriority w:val="0"/>
    <w:pPr>
      <w:numPr>
        <w:ilvl w:val="2"/>
      </w:numPr>
      <w:spacing w:before="0" w:beforeLines="0" w:after="0" w:afterLines="0"/>
      <w:outlineLvl w:val="2"/>
    </w:pPr>
  </w:style>
  <w:style w:type="paragraph" w:customStyle="1" w:styleId="11">
    <w:name w:val="章标题"/>
    <w:next w:val="1"/>
    <w:qFormat/>
    <w:uiPriority w:val="0"/>
    <w:pPr>
      <w:numPr>
        <w:ilvl w:val="1"/>
        <w:numId w:val="1"/>
      </w:numPr>
      <w:spacing w:before="50" w:beforeLines="50" w:after="50" w:afterLines="50"/>
      <w:jc w:val="both"/>
      <w:outlineLvl w:val="1"/>
    </w:pPr>
    <w:rPr>
      <w:rFonts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CMQ</Company>
  <Pages>2</Pages>
  <Words>708</Words>
  <Characters>815</Characters>
  <Lines>6</Lines>
  <Paragraphs>1</Paragraphs>
  <TotalTime>0</TotalTime>
  <ScaleCrop>false</ScaleCrop>
  <LinksUpToDate>false</LinksUpToDate>
  <CharactersWithSpaces>836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2023-03-01T02:38:00Z</dcterms:created>
  <dc:creator>pc</dc:creator>
  <cp:lastModifiedBy>艳儿</cp:lastModifiedBy>
  <cp:lastPrinted>2025-11-17T00:29:32Z</cp:lastPrinted>
  <dcterms:modified xsi:type="dcterms:W3CDTF">2025-11-17T00:29:37Z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43271E21B0BE46B28EC301F75931DA27</vt:lpwstr>
  </property>
  <property fmtid="{D5CDD505-2E9C-101B-9397-08002B2CF9AE}" pid="4" name="KSOTemplateDocerSaveRecord">
    <vt:lpwstr>eyJoZGlkIjoiYzg2NDdkMjM1YTc4Y2VmZjJjYWI4NGFkMmMyY2ZiYWUiLCJ1c2VySWQiOiI5MjgxNjAxMjQifQ==</vt:lpwstr>
  </property>
</Properties>
</file>