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</w:rPr>
        <w:t>渝北区市场监督管理局</w:t>
      </w:r>
    </w:p>
    <w:p>
      <w:pPr>
        <w:spacing w:line="660" w:lineRule="exact"/>
        <w:jc w:val="center"/>
        <w:rPr>
          <w:rStyle w:val="10"/>
          <w:rFonts w:ascii="方正小标宋_GBK" w:hAnsi="方正小标宋_GBK" w:eastAsia="方正小标宋_GBK" w:cs="方正小标宋_GBK"/>
          <w:color w:val="000000" w:themeColor="text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</w:rPr>
        <w:t>关于开展市场监管领域涉案主体合规评估的试行办法</w:t>
      </w:r>
    </w:p>
    <w:p>
      <w:pPr>
        <w:spacing w:line="660" w:lineRule="exact"/>
        <w:jc w:val="center"/>
        <w:rPr>
          <w:rStyle w:val="10"/>
          <w:rFonts w:ascii="方正楷体_GBK" w:hAnsi="方正楷体_GBK" w:eastAsia="方正楷体_GBK" w:cs="方正楷体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楷体_GBK" w:hAnsi="方正楷体_GBK" w:eastAsia="方正楷体_GBK" w:cs="方正楷体_GBK"/>
          <w:b w:val="0"/>
          <w:bCs/>
          <w:color w:val="000000" w:themeColor="text1"/>
          <w:sz w:val="32"/>
          <w:szCs w:val="32"/>
        </w:rPr>
        <w:t>（征求意见稿）</w:t>
      </w:r>
    </w:p>
    <w:p>
      <w:pPr>
        <w:spacing w:line="560" w:lineRule="exact"/>
        <w:ind w:firstLine="640" w:firstLineChars="200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</w:rPr>
      </w:pPr>
      <w:r>
        <w:rPr>
          <w:rStyle w:val="10"/>
          <w:rFonts w:hint="eastAsia" w:ascii="方正仿宋_GBK" w:hAnsi="方正仿宋_GBK" w:eastAsia="方正仿宋_GBK" w:cs="方正仿宋_GBK"/>
          <w:color w:val="000000" w:themeColor="text1"/>
        </w:rPr>
        <w:t>第一条</w:t>
      </w: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</w:rPr>
        <w:t>【目的和依据】为了进一步优化营商环境，推进包容审慎监管，助力企业纾困解难，根据《行政处罚法》《优化营商环境条例》等法律法规和《中共中央国务院关于促进民营经济发展壮大的意见》、国务院办公厅《关于进一步规范行政裁量权基准制定和管理工作的意见》、重庆市市场监督管理局、重庆市药品监督管理局、重庆市知识产权局《关于开展市场监管领域涉案主体合规评估试点工作的指导意见》等文件精神，结合市场监管实际，制定本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第二条</w:t>
      </w: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【定义】 涉案主体合规评估（以下称合规评估），是指本局在查处违反市场监管法律法规的违法行为时，对符合条件的案件，根据涉案主体的申请，依据市场监管相关法律、法规、规章和各类标准、规范、规程、准则等，对其整改</w:t>
      </w:r>
      <w:r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情况进行</w:t>
      </w: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评估，并对“认错认罚、整改到位”的涉案主体酌情予以从轻、减轻或者不予处罚的裁量活动。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Fonts w:ascii="方正仿宋_GBK" w:hAnsi="方正仿宋_GBK" w:eastAsia="方正仿宋_GBK" w:cs="方正仿宋_GBK"/>
          <w:color w:val="000000" w:themeColor="text1"/>
        </w:rPr>
      </w:pPr>
      <w:r>
        <w:rPr>
          <w:rStyle w:val="10"/>
          <w:rFonts w:hint="eastAsia" w:ascii="方正仿宋_GBK" w:hAnsi="方正仿宋_GBK" w:eastAsia="方正仿宋_GBK" w:cs="方正仿宋_GBK"/>
          <w:color w:val="000000" w:themeColor="text1"/>
        </w:rPr>
        <w:t>第三条</w:t>
      </w: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</w:rPr>
        <w:t>【评估工作机构】对涉案主体的</w:t>
      </w:r>
      <w:r>
        <w:rPr>
          <w:rFonts w:ascii="方正仿宋_GBK" w:hAnsi="方正仿宋_GBK" w:eastAsia="方正仿宋_GBK" w:cs="方正仿宋_GBK"/>
          <w:color w:val="000000" w:themeColor="text1"/>
        </w:rPr>
        <w:t>合规评估</w:t>
      </w:r>
      <w:r>
        <w:rPr>
          <w:rFonts w:hint="eastAsia" w:ascii="方正仿宋_GBK" w:hAnsi="方正仿宋_GBK" w:eastAsia="方正仿宋_GBK" w:cs="方正仿宋_GBK"/>
          <w:color w:val="000000" w:themeColor="text1"/>
        </w:rPr>
        <w:t>，由本局评估工作机构负责组织实施。必要时，由本局委托</w:t>
      </w:r>
      <w:r>
        <w:rPr>
          <w:rFonts w:ascii="方正仿宋_GBK" w:hAnsi="方正仿宋_GBK" w:eastAsia="方正仿宋_GBK" w:cs="方正仿宋_GBK"/>
          <w:color w:val="000000" w:themeColor="text1"/>
        </w:rPr>
        <w:t>第三方机构</w:t>
      </w:r>
      <w:r>
        <w:rPr>
          <w:rFonts w:hint="eastAsia" w:ascii="方正仿宋_GBK" w:hAnsi="方正仿宋_GBK" w:eastAsia="方正仿宋_GBK" w:cs="方正仿宋_GBK"/>
          <w:color w:val="000000" w:themeColor="text1"/>
        </w:rPr>
        <w:t>实施。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第四条</w:t>
      </w: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【原则】开展合规评估遵循公平公正、处罚与教育相结合、标本兼治的原则，既促进企业合规守法经营，服务市场主体高质量发展，又确保法律法规有效实施，促进严格规范公正文明执法。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</w:rPr>
      </w:pP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</w:rPr>
        <w:t>开展合规评估，不得向涉案主体收取任何费用。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第五条</w:t>
      </w: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【适用对象】 合规评估适用于本辖区法人、其他组织和个体工商户等市场主体。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方正仿宋_GBK" w:hAnsi="方正仿宋_GBK" w:eastAsia="方正仿宋_GBK" w:cs="方正仿宋_GBK"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第六条</w:t>
      </w: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【适用范围】合规评估适用于违反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市场监管领域法律、法规、规章，拟作出下列行政处罚案件：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378" w:lineRule="atLeast"/>
        <w:ind w:firstLine="630"/>
        <w:jc w:val="both"/>
        <w:textAlignment w:val="auto"/>
        <w:rPr>
          <w:rFonts w:ascii="宋体" w:hAnsi="宋体" w:eastAsia="宋体" w:cs="宋体"/>
          <w:color w:val="000000" w:themeColor="text1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1"/>
          <w:szCs w:val="31"/>
        </w:rPr>
        <w:t>（一）较大数额罚款；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378" w:lineRule="atLeast"/>
        <w:ind w:firstLine="630"/>
        <w:jc w:val="both"/>
        <w:textAlignment w:val="auto"/>
        <w:rPr>
          <w:rFonts w:ascii="宋体" w:hAnsi="宋体" w:eastAsia="宋体" w:cs="宋体"/>
          <w:color w:val="000000" w:themeColor="text1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1"/>
          <w:szCs w:val="31"/>
        </w:rPr>
        <w:t>（二）没收较大数额违法所得、没收较大价值非法财物；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378" w:lineRule="atLeast"/>
        <w:ind w:firstLine="630"/>
        <w:jc w:val="both"/>
        <w:textAlignment w:val="auto"/>
        <w:rPr>
          <w:rFonts w:ascii="宋体" w:hAnsi="宋体" w:eastAsia="宋体" w:cs="宋体"/>
          <w:color w:val="000000" w:themeColor="text1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1"/>
          <w:szCs w:val="31"/>
        </w:rPr>
        <w:t>（三）降低资质等级、吊销许可证件；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378" w:lineRule="atLeast"/>
        <w:ind w:firstLine="630"/>
        <w:jc w:val="both"/>
        <w:textAlignment w:val="auto"/>
        <w:rPr>
          <w:rFonts w:ascii="宋体" w:hAnsi="宋体" w:eastAsia="宋体" w:cs="宋体"/>
          <w:color w:val="000000" w:themeColor="text1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1"/>
          <w:szCs w:val="31"/>
        </w:rPr>
        <w:t>（四）责令停产停业、责令关闭、限制从业；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378" w:lineRule="atLeast"/>
        <w:ind w:firstLine="630"/>
        <w:jc w:val="both"/>
        <w:textAlignment w:val="auto"/>
        <w:rPr>
          <w:rFonts w:ascii="宋体" w:hAnsi="宋体" w:eastAsia="宋体" w:cs="宋体"/>
          <w:color w:val="000000" w:themeColor="text1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1"/>
          <w:szCs w:val="31"/>
        </w:rPr>
        <w:t>（五）其他较重的行政处罚。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378" w:lineRule="atLeast"/>
        <w:ind w:firstLine="630"/>
        <w:jc w:val="both"/>
        <w:textAlignment w:val="auto"/>
        <w:rPr>
          <w:rFonts w:ascii="宋体" w:hAnsi="宋体" w:eastAsia="宋体" w:cs="宋体"/>
          <w:color w:val="000000" w:themeColor="text1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1"/>
          <w:szCs w:val="31"/>
        </w:rPr>
        <w:t>较大数额罚款，是指对公民的违法行为处以5000元以上罚款，对法人或者其他组织的违法行为处以50000元以上罚款；没收较大数额违法所得、没收较大价值非法财物，是指对公民没收违法所得数额、没收非法财物价值达5000元以上，对法人或者其他组织没收违法所得数额、没收非法财物价值达50000元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第七条</w:t>
      </w: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【适用条件】 适用合规评估的案件应当同时符合下列条件：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（一）案件事实清楚，证据确实充分，法律适用明确；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（二）涉案市场主体已停止违法行为；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（三）涉案市场主体“认错认罚”，积极配合调查、如实陈述违法事实；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（四）涉案市场主体能够正常生产经营，积极改正违法行为，建立、完善企业合规制度；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（五）涉案市场主体自愿申请合规评估。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第八条</w:t>
      </w: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【排除情形】 具有下列情形之一的，不适用合规评估：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（一）为实施违法犯罪而设立涉案主体，或者设立后以实施违法犯罪为主要活动的；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（二）因同一性质的违法行为受过刑事或行政处罚的；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（三）涉嫌犯罪应移送司法机关的；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（四）社会影响恶劣或者可能引发重大群体性事件或社会舆情的；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（五）违法行为已造成他人人身伤亡或重大财产损失的；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（六）涉及重大安全风险、区域性风险或者系统性风险等；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（七）其他不宜适用的情形。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Fonts w:ascii="方正仿宋_GBK" w:hAnsi="方正仿宋_GBK" w:eastAsia="方正仿宋_GBK" w:cs="方正仿宋_GBK"/>
          <w:color w:val="000000" w:themeColor="text1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</w:rPr>
        <w:t>第九条</w:t>
      </w:r>
      <w:r>
        <w:rPr>
          <w:rFonts w:hint="eastAsia" w:ascii="方正仿宋_GBK" w:hAnsi="方正仿宋_GBK" w:eastAsia="方正仿宋_GBK" w:cs="方正仿宋_GBK"/>
          <w:color w:val="000000" w:themeColor="text1"/>
        </w:rPr>
        <w:t>【合规评估依据】开展合规评估，以下列规定、要求为依据：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方正仿宋_GBK" w:hAnsi="方正仿宋_GBK" w:eastAsia="方正仿宋_GBK" w:cs="方正仿宋_GBK"/>
          <w:color w:val="000000" w:themeColor="text1"/>
        </w:rPr>
      </w:pPr>
      <w:r>
        <w:rPr>
          <w:rFonts w:hint="eastAsia" w:ascii="方正仿宋_GBK" w:hAnsi="方正仿宋_GBK" w:eastAsia="方正仿宋_GBK" w:cs="方正仿宋_GBK"/>
          <w:color w:val="000000" w:themeColor="text1"/>
        </w:rPr>
        <w:t>（一）法律、法规、规章规定的涉案主体应当遵守和履行的法定义务；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方正仿宋_GBK" w:hAnsi="方正仿宋_GBK" w:eastAsia="方正仿宋_GBK" w:cs="方正仿宋_GBK"/>
          <w:color w:val="000000" w:themeColor="text1"/>
        </w:rPr>
      </w:pPr>
      <w:r>
        <w:rPr>
          <w:rFonts w:hint="eastAsia" w:ascii="方正仿宋_GBK" w:hAnsi="方正仿宋_GBK" w:eastAsia="方正仿宋_GBK" w:cs="方正仿宋_GBK"/>
          <w:color w:val="000000" w:themeColor="text1"/>
        </w:rPr>
        <w:t>（二）涉案产品、生产经营过程应当执行的强制性标准，以及涉案产品或者涉案主体明示执行的其他标准；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方正仿宋_GBK" w:hAnsi="方正仿宋_GBK" w:eastAsia="方正仿宋_GBK" w:cs="方正仿宋_GBK"/>
          <w:color w:val="000000" w:themeColor="text1"/>
        </w:rPr>
      </w:pPr>
      <w:r>
        <w:rPr>
          <w:rFonts w:hint="eastAsia" w:ascii="方正仿宋_GBK" w:hAnsi="方正仿宋_GBK" w:eastAsia="方正仿宋_GBK" w:cs="方正仿宋_GBK"/>
          <w:color w:val="000000" w:themeColor="text1"/>
        </w:rPr>
        <w:t>（三）涉案主体应当遵守或符合的特种</w:t>
      </w:r>
      <w:r>
        <w:rPr>
          <w:rFonts w:ascii="方正仿宋_GBK" w:hAnsi="方正仿宋_GBK" w:eastAsia="方正仿宋_GBK" w:cs="方正仿宋_GBK"/>
          <w:color w:val="000000" w:themeColor="text1"/>
        </w:rPr>
        <w:t>设备</w:t>
      </w:r>
      <w:r>
        <w:rPr>
          <w:rFonts w:hint="eastAsia" w:ascii="方正仿宋_GBK" w:hAnsi="方正仿宋_GBK" w:eastAsia="方正仿宋_GBK" w:cs="方正仿宋_GBK"/>
          <w:color w:val="000000" w:themeColor="text1"/>
        </w:rPr>
        <w:t>安全技术规范、计量检定规程、检验检测规程、评审准则等。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</w:rPr>
      </w:pPr>
      <w:r>
        <w:rPr>
          <w:rStyle w:val="10"/>
          <w:rFonts w:hint="eastAsia" w:ascii="方正仿宋_GBK" w:hAnsi="方正仿宋_GBK" w:eastAsia="方正仿宋_GBK" w:cs="方正仿宋_GBK"/>
          <w:color w:val="000000" w:themeColor="text1"/>
        </w:rPr>
        <w:t>第十条</w:t>
      </w: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</w:rPr>
        <w:t>【回避】合规评估实行回避制度，与案件有直接利害关系或者有其他关系可能影响公正评估的，应当回避。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方正仿宋_GBK" w:hAnsi="方正仿宋_GBK" w:eastAsia="方正仿宋_GBK" w:cs="方正仿宋_GBK"/>
          <w:color w:val="000000" w:themeColor="text1"/>
        </w:rPr>
      </w:pP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</w:rPr>
        <w:t>本局执法办案</w:t>
      </w:r>
      <w:r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</w:rPr>
        <w:t>机构、</w:t>
      </w: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</w:rPr>
        <w:t>办案人员、案件审核人员不得参与合规评估，不得以任何</w:t>
      </w:r>
      <w:r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</w:rPr>
        <w:t>方式影响合规评估结论</w:t>
      </w: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第十一条</w:t>
      </w: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【告知】对符合本办法第六条规定的案件，本局执法</w:t>
      </w:r>
      <w:r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办案机构应当</w:t>
      </w: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在送达《行政处罚告知书》时，书面告知涉案主体可以申请合规评估。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第十二条</w:t>
      </w: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【申请】涉案主体申请合规评估的，应当在收到《行政处罚告知书》后的三个工作日内向本局执法办案机构提交书面申请。申请书应当包括以下内容：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（一）承认自己的行为违反市场监督管理法律法规，并承诺接受本局依法作出的行政处罚决定；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（二）停止</w:t>
      </w:r>
      <w:r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实施违法行为的情况和</w:t>
      </w: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减轻危害后果的情况；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（三）已采取或者拟采取的合规整改措施；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（四）申请一般、从轻、减轻或者不予处罚的请求与理由。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第十三条</w:t>
      </w: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【受理】本局收到申请后，按照本办法的第七条、</w:t>
      </w:r>
      <w:r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第八条的</w:t>
      </w: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规定进行审查。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经审查符合条件的，本局予以受理，并书面告知涉案主体整改</w:t>
      </w:r>
      <w:r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的</w:t>
      </w: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具体</w:t>
      </w:r>
      <w:r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要求和</w:t>
      </w: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时</w:t>
      </w:r>
      <w:r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限</w:t>
      </w: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。经审查不符合条件的，作出不予受理决定，并告知理由。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第十四条</w:t>
      </w: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【案件中止】在涉案主体合规整改和合规评估期间，本局可以依法中止案件查处工作。合规评估终止或者结束后，恢复案件办理程序。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第十五条</w:t>
      </w: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【合规整改】合规整改期间，涉案市场主体应当尽力减轻危害后果，并以涉案违法行为整改合规为重点、全面合规为目标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，通过制定合规管理规范、弥补监督管理漏洞等方式，建立健全合规管理的制度机制。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</w:rPr>
      </w:pPr>
      <w:r>
        <w:rPr>
          <w:rStyle w:val="10"/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第十六条</w:t>
      </w: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【督促指导】合规评估期间，本局评估</w:t>
      </w:r>
      <w:r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工作机构</w:t>
      </w: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或者受委托的第三方机构可以对涉案主体予以督促和指导。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第十七条</w:t>
      </w: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【整改期限】涉案主体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</w:rPr>
        <w:t>合规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整改</w:t>
      </w: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应在15日以内完成。涉案主体规模较大、合规整改事项较多或者合规整改事项复杂的，可以适当延长整改期限，但最长不得超过30日。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第十八条</w:t>
      </w: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【指定评估人员】涉案主体完成合规整改或者整改期限到期的，由本局指定3</w:t>
      </w:r>
      <w:r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-5</w:t>
      </w: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名</w:t>
      </w:r>
      <w:r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评估人员</w:t>
      </w: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对涉案主体开展评估工作。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第十九条</w:t>
      </w: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【评估方式】开展合规评估，可以采取下列方式：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（一）询问、访谈、暗访；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（二）查阅资料、现场检查；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（三）抽样核查、实验验证；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（四）文本审查、知识测试；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（五）其他必要方式。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</w:rPr>
      </w:pP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</w:rPr>
        <w:t>涉案主体应当积极配合评估工作，并根据评估人员的要求完整、准确地提交整改报告或其他合规性资料，不得弄虚作假。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第二十条</w:t>
      </w: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【评估时限】合规评估一般应在10日以内完成；情况复杂的，最长不超过20日。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检测、检验等所需时间，不计入前款规定期限。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Fonts w:ascii="方正仿宋_GBK" w:hAnsi="方正仿宋_GBK" w:eastAsia="方正仿宋_GBK" w:cs="方正仿宋_GBK"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第二十一条</w:t>
      </w: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【评估结果】</w:t>
      </w:r>
      <w:r>
        <w:rPr>
          <w:rStyle w:val="10"/>
          <w:rFonts w:hint="eastAsia" w:ascii="方正仿宋_GBK" w:hAnsi="方正仿宋_GBK" w:eastAsia="方正仿宋_GBK" w:cs="方正仿宋_GBK"/>
          <w:b w:val="0"/>
          <w:color w:val="000000" w:themeColor="text1"/>
          <w:sz w:val="32"/>
          <w:szCs w:val="32"/>
        </w:rPr>
        <w:t>评估</w:t>
      </w:r>
      <w:r>
        <w:rPr>
          <w:rStyle w:val="10"/>
          <w:rFonts w:ascii="方正仿宋_GBK" w:hAnsi="方正仿宋_GBK" w:eastAsia="方正仿宋_GBK" w:cs="方正仿宋_GBK"/>
          <w:b w:val="0"/>
          <w:color w:val="000000" w:themeColor="text1"/>
          <w:sz w:val="32"/>
          <w:szCs w:val="32"/>
        </w:rPr>
        <w:t>工作结束后</w:t>
      </w:r>
      <w:r>
        <w:rPr>
          <w:rStyle w:val="10"/>
          <w:rFonts w:hint="eastAsia" w:ascii="方正仿宋_GBK" w:hAnsi="方正仿宋_GBK" w:eastAsia="方正仿宋_GBK" w:cs="方正仿宋_GBK"/>
          <w:b w:val="0"/>
          <w:color w:val="000000" w:themeColor="text1"/>
          <w:sz w:val="32"/>
          <w:szCs w:val="32"/>
        </w:rPr>
        <w:t>，由</w:t>
      </w:r>
      <w:r>
        <w:rPr>
          <w:rFonts w:ascii="方正仿宋_GBK" w:eastAsia="方正仿宋_GBK"/>
          <w:color w:val="000000" w:themeColor="text1"/>
          <w:sz w:val="32"/>
          <w:szCs w:val="32"/>
        </w:rPr>
        <w:t>评估人员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向</w:t>
      </w:r>
      <w:r>
        <w:rPr>
          <w:rFonts w:ascii="方正仿宋_GBK" w:eastAsia="方正仿宋_GBK"/>
          <w:color w:val="000000" w:themeColor="text1"/>
          <w:sz w:val="32"/>
          <w:szCs w:val="32"/>
        </w:rPr>
        <w:t>本局提出合规评估报告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。</w:t>
      </w:r>
      <w:r>
        <w:rPr>
          <w:rStyle w:val="10"/>
          <w:rFonts w:hint="eastAsia" w:ascii="方正仿宋_GBK" w:hAnsi="方正仿宋_GBK" w:eastAsia="方正仿宋_GBK" w:cs="方正仿宋_GBK"/>
          <w:b w:val="0"/>
          <w:color w:val="000000" w:themeColor="text1"/>
          <w:sz w:val="32"/>
          <w:szCs w:val="32"/>
        </w:rPr>
        <w:t>本局对</w:t>
      </w:r>
      <w:r>
        <w:rPr>
          <w:rStyle w:val="10"/>
          <w:rFonts w:ascii="方正仿宋_GBK" w:hAnsi="方正仿宋_GBK" w:eastAsia="方正仿宋_GBK" w:cs="方正仿宋_GBK"/>
          <w:b w:val="0"/>
          <w:color w:val="000000" w:themeColor="text1"/>
          <w:sz w:val="32"/>
          <w:szCs w:val="32"/>
        </w:rPr>
        <w:t>评估报告</w:t>
      </w:r>
      <w:r>
        <w:rPr>
          <w:rFonts w:ascii="方正仿宋_GBK" w:eastAsia="方正仿宋_GBK"/>
          <w:color w:val="000000" w:themeColor="text1"/>
          <w:sz w:val="32"/>
          <w:szCs w:val="32"/>
        </w:rPr>
        <w:t>进行必要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的</w:t>
      </w:r>
      <w:r>
        <w:rPr>
          <w:rFonts w:ascii="方正仿宋_GBK" w:eastAsia="方正仿宋_GBK"/>
          <w:color w:val="000000" w:themeColor="text1"/>
          <w:sz w:val="32"/>
          <w:szCs w:val="32"/>
        </w:rPr>
        <w:t>审查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后</w:t>
      </w:r>
      <w:r>
        <w:rPr>
          <w:rFonts w:ascii="方正仿宋_GBK" w:eastAsia="方正仿宋_GBK"/>
          <w:color w:val="000000" w:themeColor="text1"/>
          <w:sz w:val="32"/>
          <w:szCs w:val="32"/>
        </w:rPr>
        <w:t>，制作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《</w:t>
      </w:r>
      <w:r>
        <w:rPr>
          <w:rStyle w:val="10"/>
          <w:rFonts w:hint="eastAsia" w:ascii="方正仿宋_GBK" w:hAnsi="方正仿宋_GBK" w:eastAsia="方正仿宋_GBK" w:cs="方正仿宋_GBK"/>
          <w:b w:val="0"/>
          <w:color w:val="000000" w:themeColor="text1"/>
          <w:sz w:val="32"/>
          <w:szCs w:val="32"/>
        </w:rPr>
        <w:t>涉案主体合规审查评估结果告知书》</w:t>
      </w:r>
      <w:r>
        <w:rPr>
          <w:rStyle w:val="10"/>
          <w:rFonts w:ascii="方正仿宋_GBK" w:hAnsi="方正仿宋_GBK" w:eastAsia="方正仿宋_GBK" w:cs="方正仿宋_GBK"/>
          <w:b w:val="0"/>
          <w:color w:val="000000" w:themeColor="text1"/>
          <w:sz w:val="32"/>
          <w:szCs w:val="32"/>
        </w:rPr>
        <w:t>，送达涉案主体</w:t>
      </w:r>
      <w:r>
        <w:rPr>
          <w:rStyle w:val="10"/>
          <w:rFonts w:hint="eastAsia" w:ascii="方正仿宋_GBK" w:hAnsi="方正仿宋_GBK" w:eastAsia="方正仿宋_GBK" w:cs="方正仿宋_GBK"/>
          <w:b w:val="0"/>
          <w:color w:val="000000" w:themeColor="text1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方正仿宋_GBK" w:hAnsi="方正仿宋_GBK" w:eastAsia="方正仿宋_GBK" w:cs="方正仿宋_GBK"/>
          <w:color w:val="000000" w:themeColor="text1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</w:rPr>
        <w:t>评估结论涉及其他</w:t>
      </w:r>
      <w:r>
        <w:rPr>
          <w:rFonts w:ascii="方正仿宋_GBK" w:eastAsia="方正仿宋_GBK"/>
          <w:color w:val="000000" w:themeColor="text1"/>
          <w:sz w:val="32"/>
          <w:szCs w:val="32"/>
        </w:rPr>
        <w:t>权利人重大利益的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，本局可</w:t>
      </w:r>
      <w:r>
        <w:rPr>
          <w:rFonts w:ascii="方正仿宋_GBK" w:eastAsia="方正仿宋_GBK"/>
          <w:color w:val="000000" w:themeColor="text1"/>
          <w:sz w:val="32"/>
          <w:szCs w:val="32"/>
        </w:rPr>
        <w:t>以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就该结论</w:t>
      </w:r>
      <w:r>
        <w:rPr>
          <w:rFonts w:ascii="方正仿宋_GBK" w:eastAsia="方正仿宋_GBK"/>
          <w:color w:val="000000" w:themeColor="text1"/>
          <w:sz w:val="32"/>
          <w:szCs w:val="32"/>
        </w:rPr>
        <w:t>征求其意见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Style w:val="10"/>
          <w:b w:val="0"/>
          <w:color w:val="000000" w:themeColor="text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涉案主体、其他单位和个人对合规评估结论提出异议的，由本局</w:t>
      </w: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评估工作</w:t>
      </w:r>
      <w:r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机构</w:t>
      </w: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或者受委托的第三方机构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进行调查核实，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</w:rPr>
        <w:t>听取其意见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。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</w:rPr>
        <w:t>异议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成立的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</w:rPr>
        <w:t>，对评估结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论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</w:rPr>
        <w:t>予以改正或调整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第二十二条</w:t>
      </w: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【终止评估】合规评估期期间，涉案主体具有下列情形之一的，本局可以终止合规评估：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（一）实施新的违法行为的；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（二）拒不配合评估工作或弄虚作假的，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（三）</w:t>
      </w:r>
      <w:r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向办案人员、评估人员行贿</w:t>
      </w: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，</w:t>
      </w:r>
      <w:r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或者</w:t>
      </w: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以</w:t>
      </w:r>
      <w:r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其他不正当方式</w:t>
      </w: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对</w:t>
      </w:r>
      <w:r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评估工作施加影响</w:t>
      </w: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的；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（三）其他应当终止的情形。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第二十三条</w:t>
      </w: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【案件处理】经评估认定违法行为整改到位的，本局按照以下规则依法作出处罚决定：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（一）对涉案主体情节显著轻微或具有减轻情节的，可决定免于处罚；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（二）对原本具有从轻情节的，可决定予以减轻处罚；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（三）对原本没有从轻情节的，可决定予以从轻处罚；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（四）对原本有从重情节的，可以决定予以一般处罚。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对于终止合规评估或者经评估认为整改未到位的涉案主体，本局恢复案件办理程序，依法对其</w:t>
      </w:r>
      <w:r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违法行为</w:t>
      </w: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</w:rPr>
        <w:t>实施行政处罚。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</w:rPr>
      </w:pPr>
      <w:r>
        <w:rPr>
          <w:rStyle w:val="10"/>
          <w:rFonts w:hint="eastAsia" w:ascii="方正仿宋_GBK" w:hAnsi="方正仿宋_GBK" w:eastAsia="方正仿宋_GBK" w:cs="方正仿宋_GBK"/>
          <w:color w:val="000000" w:themeColor="text1"/>
        </w:rPr>
        <w:t>第二十四条</w:t>
      </w: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</w:rPr>
        <w:t>【法纪要求】</w:t>
      </w:r>
      <w:r>
        <w:rPr>
          <w:rStyle w:val="10"/>
          <w:rFonts w:hint="eastAsia" w:ascii="方正仿宋_GBK" w:hAnsi="方正仿宋_GBK" w:eastAsia="方正仿宋_GBK" w:cs="方正仿宋_GBK"/>
          <w:b w:val="0"/>
          <w:color w:val="000000" w:themeColor="text1"/>
        </w:rPr>
        <w:t>办案人员、合规评估人员在合规评估过程中应当遵纪守法、勤勉尽责、客观中立，不得泄露履职过程中知悉的国家秘密、商业秘密和个人隐私，不得利用履职便利，索取、收受贿赂或者非法侵占涉案企业、个人的财物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Style w:val="10"/>
          <w:rFonts w:ascii="方正仿宋_GBK" w:hAnsi="方正仿宋_GBK" w:eastAsia="方正仿宋_GBK" w:cs="方正仿宋_GBK"/>
          <w:b w:val="0"/>
          <w:bCs/>
          <w:color w:val="000000" w:themeColor="text1"/>
        </w:rPr>
      </w:pPr>
      <w:r>
        <w:rPr>
          <w:rStyle w:val="10"/>
          <w:rFonts w:hint="eastAsia" w:ascii="方正仿宋_GBK" w:hAnsi="方正仿宋_GBK" w:eastAsia="方正仿宋_GBK" w:cs="方正仿宋_GBK"/>
          <w:b w:val="0"/>
          <w:color w:val="000000" w:themeColor="text1"/>
        </w:rPr>
        <w:t>办案人员、合规评估人员</w:t>
      </w:r>
      <w:r>
        <w:rPr>
          <w:rStyle w:val="10"/>
          <w:rFonts w:hint="eastAsia" w:ascii="方正仿宋_GBK" w:hAnsi="方正仿宋_GBK" w:eastAsia="方正仿宋_GBK" w:cs="方正仿宋_GBK"/>
          <w:b w:val="0"/>
          <w:bCs/>
          <w:color w:val="000000" w:themeColor="text1"/>
        </w:rPr>
        <w:t>索取或者收受他人财物或者谋取其他利益，构成犯罪的，依法追究刑事责任；尚不构成犯罪的，依法给予处分。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Fonts w:ascii="方正仿宋_GBK" w:hAnsi="方正仿宋_GBK" w:eastAsia="方正仿宋_GBK" w:cs="方正仿宋_GBK"/>
          <w:b/>
          <w:color w:val="000000" w:themeColor="text1"/>
          <w:sz w:val="32"/>
          <w:szCs w:val="32"/>
        </w:rPr>
      </w:pPr>
      <w:r>
        <w:rPr>
          <w:rStyle w:val="10"/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 xml:space="preserve"> 第二十五条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【解释权】</w:t>
      </w:r>
      <w:r>
        <w:rPr>
          <w:rStyle w:val="10"/>
          <w:rFonts w:hint="eastAsia" w:ascii="方正仿宋_GBK" w:hAnsi="方正仿宋_GBK" w:eastAsia="方正仿宋_GBK" w:cs="方正仿宋_GBK"/>
          <w:b w:val="0"/>
          <w:color w:val="000000" w:themeColor="text1"/>
          <w:sz w:val="32"/>
          <w:szCs w:val="32"/>
        </w:rPr>
        <w:t>本办法由区市场监督管理局解释。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2" w:firstLineChars="200"/>
        <w:textAlignment w:val="auto"/>
        <w:rPr>
          <w:rFonts w:ascii="方正仿宋_GBK" w:hAnsi="方正仿宋_GBK" w:eastAsia="方正仿宋_GBK" w:cs="方正仿宋_GBK"/>
          <w:color w:val="000000" w:themeColor="text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color w:val="000000" w:themeColor="text1"/>
          <w:sz w:val="32"/>
          <w:szCs w:val="32"/>
        </w:rPr>
        <w:t>第二十六条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【实施时间】本办法自印发之日起施行。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rPr>
          <w:rStyle w:val="10"/>
          <w:rFonts w:ascii="方正仿宋_GBK" w:hAnsi="方正仿宋_GBK" w:eastAsia="方正仿宋_GBK" w:cs="方正仿宋_GBK"/>
          <w:b w:val="0"/>
          <w:sz w:val="32"/>
          <w:szCs w:val="32"/>
        </w:rPr>
      </w:pPr>
    </w:p>
    <w:p>
      <w:pPr>
        <w:spacing w:line="560" w:lineRule="exact"/>
        <w:rPr>
          <w:rStyle w:val="10"/>
          <w:rFonts w:ascii="方正仿宋_GBK" w:hAnsi="方正仿宋_GBK" w:eastAsia="方正仿宋_GBK" w:cs="方正仿宋_GBK"/>
          <w:b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Times New Roman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g5NTBjZGMxM2U3NWY5ZjU5MTgwZjUyNTdlNWI3MjcifQ=="/>
  </w:docVars>
  <w:rsids>
    <w:rsidRoot w:val="00172A27"/>
    <w:rsid w:val="00040813"/>
    <w:rsid w:val="00075629"/>
    <w:rsid w:val="0008335D"/>
    <w:rsid w:val="000870FE"/>
    <w:rsid w:val="000A195E"/>
    <w:rsid w:val="000E1DBF"/>
    <w:rsid w:val="000F57E9"/>
    <w:rsid w:val="0012679C"/>
    <w:rsid w:val="001711C8"/>
    <w:rsid w:val="00172A27"/>
    <w:rsid w:val="001B078F"/>
    <w:rsid w:val="001E508C"/>
    <w:rsid w:val="001F2400"/>
    <w:rsid w:val="00211C92"/>
    <w:rsid w:val="0023174F"/>
    <w:rsid w:val="00264378"/>
    <w:rsid w:val="002E1221"/>
    <w:rsid w:val="002E3900"/>
    <w:rsid w:val="002E5D6E"/>
    <w:rsid w:val="002F7E59"/>
    <w:rsid w:val="00302A23"/>
    <w:rsid w:val="00315373"/>
    <w:rsid w:val="003174CD"/>
    <w:rsid w:val="00326F7F"/>
    <w:rsid w:val="00351E2B"/>
    <w:rsid w:val="00392BFF"/>
    <w:rsid w:val="003B727D"/>
    <w:rsid w:val="004D2F28"/>
    <w:rsid w:val="00537E22"/>
    <w:rsid w:val="00551054"/>
    <w:rsid w:val="005862DE"/>
    <w:rsid w:val="005E3686"/>
    <w:rsid w:val="00664CF8"/>
    <w:rsid w:val="007324AA"/>
    <w:rsid w:val="007E504D"/>
    <w:rsid w:val="00831D2D"/>
    <w:rsid w:val="008379A8"/>
    <w:rsid w:val="008A2EF3"/>
    <w:rsid w:val="008F28CE"/>
    <w:rsid w:val="00935DC8"/>
    <w:rsid w:val="00946608"/>
    <w:rsid w:val="00946EDC"/>
    <w:rsid w:val="00952694"/>
    <w:rsid w:val="00A246B0"/>
    <w:rsid w:val="00A914C1"/>
    <w:rsid w:val="00B618C0"/>
    <w:rsid w:val="00BC0E8B"/>
    <w:rsid w:val="00BC33C8"/>
    <w:rsid w:val="00C20C9C"/>
    <w:rsid w:val="00C27684"/>
    <w:rsid w:val="00C44379"/>
    <w:rsid w:val="00CA32C7"/>
    <w:rsid w:val="00CC1D6B"/>
    <w:rsid w:val="00CE686F"/>
    <w:rsid w:val="00CE7C9C"/>
    <w:rsid w:val="00D61390"/>
    <w:rsid w:val="00DC3137"/>
    <w:rsid w:val="00E11C2C"/>
    <w:rsid w:val="00ED1F0A"/>
    <w:rsid w:val="00EE37A6"/>
    <w:rsid w:val="00F357ED"/>
    <w:rsid w:val="00FA799B"/>
    <w:rsid w:val="00FB3469"/>
    <w:rsid w:val="01035D00"/>
    <w:rsid w:val="02085BA4"/>
    <w:rsid w:val="04334667"/>
    <w:rsid w:val="04A00E41"/>
    <w:rsid w:val="078C4AAC"/>
    <w:rsid w:val="093F3BF0"/>
    <w:rsid w:val="107D187C"/>
    <w:rsid w:val="15435DC1"/>
    <w:rsid w:val="1702754B"/>
    <w:rsid w:val="1A4C75F4"/>
    <w:rsid w:val="1D3E0EC7"/>
    <w:rsid w:val="21D179DD"/>
    <w:rsid w:val="2692371B"/>
    <w:rsid w:val="279225A8"/>
    <w:rsid w:val="293F5EDA"/>
    <w:rsid w:val="29713A3E"/>
    <w:rsid w:val="2A8D4998"/>
    <w:rsid w:val="2B81335A"/>
    <w:rsid w:val="2BE7780D"/>
    <w:rsid w:val="2C65650C"/>
    <w:rsid w:val="31FB6A3C"/>
    <w:rsid w:val="33CA2114"/>
    <w:rsid w:val="37324115"/>
    <w:rsid w:val="3E956F86"/>
    <w:rsid w:val="43EBCE1B"/>
    <w:rsid w:val="4A8C507E"/>
    <w:rsid w:val="4B06520A"/>
    <w:rsid w:val="4E5F5A97"/>
    <w:rsid w:val="4E677614"/>
    <w:rsid w:val="515A73A2"/>
    <w:rsid w:val="524E398A"/>
    <w:rsid w:val="526103DE"/>
    <w:rsid w:val="52AA2458"/>
    <w:rsid w:val="54015EA7"/>
    <w:rsid w:val="54756A7F"/>
    <w:rsid w:val="547C5270"/>
    <w:rsid w:val="598A5908"/>
    <w:rsid w:val="5CC06EA7"/>
    <w:rsid w:val="62C855F1"/>
    <w:rsid w:val="6A386031"/>
    <w:rsid w:val="6B7D3710"/>
    <w:rsid w:val="6F4008E9"/>
    <w:rsid w:val="71854DEC"/>
    <w:rsid w:val="78D92E76"/>
    <w:rsid w:val="79F21DFA"/>
    <w:rsid w:val="7AAA21FE"/>
    <w:rsid w:val="7B226BC3"/>
    <w:rsid w:val="7B5B102C"/>
    <w:rsid w:val="7F5D3869"/>
    <w:rsid w:val="9DFF7753"/>
    <w:rsid w:val="E3FE0DBA"/>
    <w:rsid w:val="FBE387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ind w:left="2940"/>
    </w:p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next w:val="2"/>
    <w:qFormat/>
    <w:uiPriority w:val="0"/>
    <w:pPr>
      <w:ind w:left="220"/>
    </w:pPr>
    <w:rPr>
      <w:rFonts w:ascii="Arial Unicode MS" w:hAnsi="Arial Unicode MS" w:eastAsia="Arial Unicode MS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3156</Words>
  <Characters>134</Characters>
  <Lines>1</Lines>
  <Paragraphs>6</Paragraphs>
  <TotalTime>157</TotalTime>
  <ScaleCrop>false</ScaleCrop>
  <LinksUpToDate>false</LinksUpToDate>
  <CharactersWithSpaces>3284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2023-09-26T18:45:00Z</dcterms:created>
  <dc:creator>dh</dc:creator>
  <cp:lastModifiedBy>scjgj</cp:lastModifiedBy>
  <cp:lastPrinted>2023-09-11T18:58:00Z</cp:lastPrinted>
  <dcterms:modified xsi:type="dcterms:W3CDTF">2023-10-19T16:38:16Z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51DB7157500C4F028005888BCC4FA96B_12</vt:lpwstr>
  </property>
</Properties>
</file>