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topLinePunct w:val="0"/>
        <w:autoSpaceDE/>
        <w:autoSpaceDN/>
        <w:bidi w:val="0"/>
        <w:snapToGrid/>
        <w:spacing w:line="550" w:lineRule="exact"/>
        <w:jc w:val="center"/>
        <w:outlineLvl w:val="9"/>
        <w:rPr>
          <w:rFonts w:hint="default" w:ascii="Times New Roman" w:hAnsi="Times New Roman" w:eastAsia="方正小标宋_GBK" w:cs="Times New Roman"/>
          <w:sz w:val="44"/>
          <w:szCs w:val="44"/>
        </w:rPr>
      </w:pPr>
      <w:bookmarkStart w:id="0" w:name="_GoBack"/>
      <w:r>
        <w:rPr>
          <w:rFonts w:hint="default" w:ascii="Times New Roman" w:hAnsi="Times New Roman" w:eastAsia="方正小标宋_GBK" w:cs="Times New Roman"/>
          <w:sz w:val="44"/>
          <w:szCs w:val="44"/>
        </w:rPr>
        <w:t>重庆市沙坪坝区市场监督管理局</w:t>
      </w:r>
    </w:p>
    <w:p>
      <w:pPr>
        <w:keepNext w:val="0"/>
        <w:keepLines w:val="0"/>
        <w:pageBreakBefore w:val="0"/>
        <w:kinsoku/>
        <w:wordWrap/>
        <w:topLinePunct w:val="0"/>
        <w:autoSpaceDE/>
        <w:autoSpaceDN/>
        <w:bidi w:val="0"/>
        <w:snapToGrid/>
        <w:spacing w:line="550" w:lineRule="exact"/>
        <w:jc w:val="center"/>
        <w:outlineLvl w:val="9"/>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2021年法治政府建设情况报告</w:t>
      </w:r>
    </w:p>
    <w:p>
      <w:pPr>
        <w:keepNext w:val="0"/>
        <w:keepLines w:val="0"/>
        <w:pageBreakBefore w:val="0"/>
        <w:kinsoku/>
        <w:wordWrap/>
        <w:topLinePunct w:val="0"/>
        <w:autoSpaceDE/>
        <w:autoSpaceDN/>
        <w:bidi w:val="0"/>
        <w:snapToGrid/>
        <w:spacing w:line="550" w:lineRule="exact"/>
        <w:jc w:val="center"/>
        <w:outlineLvl w:val="9"/>
        <w:rPr>
          <w:rFonts w:hint="default" w:ascii="Times New Roman" w:hAnsi="Times New Roman" w:eastAsia="方正楷体_GBK" w:cs="Times New Roman"/>
          <w:color w:val="000000"/>
          <w:szCs w:val="21"/>
        </w:rPr>
      </w:pPr>
    </w:p>
    <w:bookmarkEnd w:id="0"/>
    <w:p>
      <w:pPr>
        <w:keepNext w:val="0"/>
        <w:keepLines w:val="0"/>
        <w:pageBreakBefore w:val="0"/>
        <w:kinsoku/>
        <w:wordWrap/>
        <w:topLinePunct w:val="0"/>
        <w:autoSpaceDE/>
        <w:autoSpaceDN/>
        <w:bidi w:val="0"/>
        <w:snapToGrid/>
        <w:spacing w:line="550" w:lineRule="exact"/>
        <w:outlineLvl w:val="9"/>
        <w:rPr>
          <w:rFonts w:hint="default" w:ascii="Times New Roman" w:hAnsi="Times New Roman" w:eastAsia="方正仿宋_GBK" w:cs="Times New Roman"/>
          <w:sz w:val="32"/>
          <w:szCs w:val="32"/>
        </w:rPr>
      </w:pPr>
    </w:p>
    <w:p>
      <w:pPr>
        <w:keepNext w:val="0"/>
        <w:keepLines w:val="0"/>
        <w:pageBreakBefore w:val="0"/>
        <w:kinsoku/>
        <w:wordWrap/>
        <w:topLinePunct w:val="0"/>
        <w:autoSpaceDE/>
        <w:autoSpaceDN/>
        <w:bidi w:val="0"/>
        <w:snapToGrid/>
        <w:spacing w:line="550" w:lineRule="exact"/>
        <w:ind w:firstLine="640"/>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2021年，我局围绕法治政府建设总体要求，全面推进依法行政，扎实履行监管职责，全力为我区经济社会发展提供市场监管法治保障，切实推</w:t>
      </w:r>
      <w:r>
        <w:rPr>
          <w:rFonts w:hint="default" w:ascii="Times New Roman" w:hAnsi="Times New Roman" w:eastAsia="方正仿宋_GBK" w:cs="Times New Roman"/>
          <w:color w:val="333333"/>
          <w:sz w:val="32"/>
          <w:szCs w:val="32"/>
          <w:shd w:val="clear" w:color="auto" w:fill="FFFFFF"/>
        </w:rPr>
        <w:t>动市场监管法治建设取得新成效，</w:t>
      </w:r>
      <w:r>
        <w:rPr>
          <w:rFonts w:hint="default" w:ascii="Times New Roman" w:hAnsi="Times New Roman" w:eastAsia="方正仿宋_GBK" w:cs="Times New Roman"/>
          <w:sz w:val="32"/>
          <w:szCs w:val="32"/>
        </w:rPr>
        <w:t>现将工作情况汇报如下。</w:t>
      </w:r>
    </w:p>
    <w:p>
      <w:pPr>
        <w:keepNext w:val="0"/>
        <w:keepLines w:val="0"/>
        <w:pageBreakBefore w:val="0"/>
        <w:kinsoku/>
        <w:wordWrap/>
        <w:topLinePunct w:val="0"/>
        <w:autoSpaceDE/>
        <w:autoSpaceDN/>
        <w:bidi w:val="0"/>
        <w:snapToGrid/>
        <w:spacing w:line="550" w:lineRule="exact"/>
        <w:ind w:firstLine="640" w:firstLineChars="200"/>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w:t>
      </w:r>
      <w:r>
        <w:rPr>
          <w:rFonts w:hint="default" w:ascii="Times New Roman" w:hAnsi="Times New Roman" w:eastAsia="方正黑体_GBK" w:cs="Times New Roman"/>
          <w:bCs/>
          <w:sz w:val="32"/>
          <w:szCs w:val="32"/>
          <w:shd w:val="clear" w:color="auto" w:fill="FFFFFF"/>
        </w:rPr>
        <w:t>持续发挥党组领导核心作用</w:t>
      </w:r>
    </w:p>
    <w:p>
      <w:pPr>
        <w:pStyle w:val="7"/>
        <w:keepNext w:val="0"/>
        <w:keepLines w:val="0"/>
        <w:pageBreakBefore w:val="0"/>
        <w:kinsoku/>
        <w:wordWrap/>
        <w:overflowPunct w:val="0"/>
        <w:topLinePunct w:val="0"/>
        <w:autoSpaceDE/>
        <w:autoSpaceDN/>
        <w:bidi w:val="0"/>
        <w:snapToGrid/>
        <w:spacing w:before="0" w:beforeAutospacing="0" w:after="0" w:afterAutospacing="0" w:line="550" w:lineRule="exact"/>
        <w:ind w:firstLine="640" w:firstLineChars="200"/>
        <w:jc w:val="both"/>
        <w:outlineLvl w:val="9"/>
        <w:rPr>
          <w:rFonts w:hint="default" w:ascii="Times New Roman" w:hAnsi="Times New Roman" w:cs="Times New Roman"/>
          <w:color w:val="000000"/>
          <w:sz w:val="32"/>
          <w:szCs w:val="32"/>
        </w:rPr>
      </w:pPr>
      <w:r>
        <w:rPr>
          <w:rFonts w:hint="default" w:ascii="Times New Roman" w:hAnsi="Times New Roman" w:eastAsia="方正楷体_GBK" w:cs="Times New Roman"/>
          <w:bCs/>
          <w:sz w:val="32"/>
          <w:szCs w:val="32"/>
        </w:rPr>
        <w:t>（一）强组织确保统筹有力。</w:t>
      </w:r>
      <w:r>
        <w:rPr>
          <w:rFonts w:hint="default" w:ascii="Times New Roman" w:hAnsi="Times New Roman" w:cs="Times New Roman"/>
          <w:color w:val="000000"/>
          <w:sz w:val="32"/>
          <w:szCs w:val="32"/>
        </w:rPr>
        <w:t>切实发挥局法治政府建设工作领导小组及其办公室作用，进一步明确法治政府建设工作职责和工作重点，健全完善推进法治政府建设长效机制，形成依法行政的工作合力。</w:t>
      </w:r>
    </w:p>
    <w:p>
      <w:pPr>
        <w:pStyle w:val="7"/>
        <w:keepNext w:val="0"/>
        <w:keepLines w:val="0"/>
        <w:pageBreakBefore w:val="0"/>
        <w:kinsoku/>
        <w:wordWrap/>
        <w:overflowPunct w:val="0"/>
        <w:topLinePunct w:val="0"/>
        <w:autoSpaceDE/>
        <w:autoSpaceDN/>
        <w:bidi w:val="0"/>
        <w:snapToGrid/>
        <w:spacing w:before="0" w:beforeAutospacing="0" w:after="0" w:afterAutospacing="0" w:line="550" w:lineRule="exact"/>
        <w:ind w:firstLine="640" w:firstLineChars="200"/>
        <w:jc w:val="both"/>
        <w:outlineLvl w:val="9"/>
        <w:rPr>
          <w:rFonts w:hint="default" w:ascii="Times New Roman" w:hAnsi="Times New Roman" w:cs="Times New Roman"/>
          <w:sz w:val="32"/>
          <w:szCs w:val="32"/>
        </w:rPr>
      </w:pPr>
      <w:r>
        <w:rPr>
          <w:rFonts w:hint="default" w:ascii="Times New Roman" w:hAnsi="Times New Roman" w:eastAsia="方正楷体_GBK" w:cs="Times New Roman"/>
          <w:bCs/>
          <w:sz w:val="32"/>
          <w:szCs w:val="32"/>
        </w:rPr>
        <w:t>（二）抓学习确保方向不偏。</w:t>
      </w:r>
      <w:r>
        <w:rPr>
          <w:rFonts w:hint="default" w:ascii="Times New Roman" w:hAnsi="Times New Roman" w:cs="Times New Roman"/>
          <w:sz w:val="32"/>
          <w:szCs w:val="32"/>
        </w:rPr>
        <w:t>通过党组会开展专题学习，党组理论学习中心组集中学习，深入学习贯彻习近平法治思想。</w:t>
      </w:r>
      <w:r>
        <w:rPr>
          <w:rFonts w:hint="default" w:ascii="Times New Roman" w:hAnsi="Times New Roman" w:cs="Times New Roman"/>
          <w:color w:val="000000"/>
          <w:sz w:val="32"/>
          <w:szCs w:val="32"/>
        </w:rPr>
        <w:t>落实党组中心组和领导干部集体学法制度，深入学习</w:t>
      </w:r>
      <w:r>
        <w:rPr>
          <w:rFonts w:hint="default" w:ascii="Times New Roman" w:hAnsi="Times New Roman" w:cs="Times New Roman"/>
          <w:sz w:val="32"/>
          <w:szCs w:val="32"/>
        </w:rPr>
        <w:t>贯彻中央全面依法治国工作会议和市委全面依法治市工作会议精神。</w:t>
      </w:r>
    </w:p>
    <w:p>
      <w:pPr>
        <w:pStyle w:val="7"/>
        <w:keepNext w:val="0"/>
        <w:keepLines w:val="0"/>
        <w:pageBreakBefore w:val="0"/>
        <w:kinsoku/>
        <w:wordWrap/>
        <w:overflowPunct w:val="0"/>
        <w:topLinePunct w:val="0"/>
        <w:autoSpaceDE/>
        <w:autoSpaceDN/>
        <w:bidi w:val="0"/>
        <w:snapToGrid/>
        <w:spacing w:before="0" w:beforeAutospacing="0" w:after="0" w:afterAutospacing="0" w:line="550" w:lineRule="exact"/>
        <w:ind w:firstLine="640" w:firstLineChars="200"/>
        <w:jc w:val="both"/>
        <w:outlineLvl w:val="9"/>
        <w:rPr>
          <w:rFonts w:hint="default" w:ascii="Times New Roman" w:hAnsi="Times New Roman" w:cs="Times New Roman"/>
          <w:sz w:val="32"/>
          <w:szCs w:val="32"/>
        </w:rPr>
      </w:pPr>
      <w:r>
        <w:rPr>
          <w:rFonts w:hint="default" w:ascii="Times New Roman" w:hAnsi="Times New Roman" w:eastAsia="方正楷体_GBK" w:cs="Times New Roman"/>
          <w:bCs/>
          <w:sz w:val="32"/>
          <w:szCs w:val="32"/>
        </w:rPr>
        <w:t>（三）明责任确保上下贯通。</w:t>
      </w:r>
      <w:r>
        <w:rPr>
          <w:rFonts w:hint="default" w:ascii="Times New Roman" w:hAnsi="Times New Roman" w:cs="Times New Roman"/>
          <w:color w:val="000000"/>
          <w:sz w:val="32"/>
          <w:szCs w:val="32"/>
        </w:rPr>
        <w:t>切实履行主要领导法治建设第一责任人职责，带头贯彻落实法治建设重要决策部署，对法治建设重要工作亲自部署、重大问题亲自过问、重点环节亲自协调、重要任务亲自督办。分管领导做好分管领域法治建设工作，把区局各项工作纳入法治化轨道，将法治政府建设摆在全局工作的重要位置，纳入年度工作重点和目标考核内容，</w:t>
      </w:r>
      <w:r>
        <w:rPr>
          <w:rFonts w:hint="default" w:ascii="Times New Roman" w:hAnsi="Times New Roman" w:cs="Times New Roman"/>
          <w:sz w:val="32"/>
          <w:szCs w:val="32"/>
        </w:rPr>
        <w:t>强化考核结果运用，推动各项工作任务落地见效。</w:t>
      </w:r>
    </w:p>
    <w:p>
      <w:pPr>
        <w:keepNext w:val="0"/>
        <w:keepLines w:val="0"/>
        <w:pageBreakBefore w:val="0"/>
        <w:tabs>
          <w:tab w:val="left" w:pos="6300"/>
        </w:tabs>
        <w:kinsoku/>
        <w:wordWrap/>
        <w:topLinePunct w:val="0"/>
        <w:autoSpaceDE/>
        <w:autoSpaceDN/>
        <w:bidi w:val="0"/>
        <w:snapToGrid/>
        <w:spacing w:line="550" w:lineRule="exact"/>
        <w:ind w:firstLine="640"/>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二、依法履行市场监管职责</w:t>
      </w:r>
    </w:p>
    <w:p>
      <w:pPr>
        <w:keepNext w:val="0"/>
        <w:keepLines w:val="0"/>
        <w:pageBreakBefore w:val="0"/>
        <w:tabs>
          <w:tab w:val="left" w:pos="6300"/>
        </w:tabs>
        <w:kinsoku/>
        <w:wordWrap/>
        <w:topLinePunct w:val="0"/>
        <w:autoSpaceDE/>
        <w:autoSpaceDN/>
        <w:bidi w:val="0"/>
        <w:snapToGrid/>
        <w:spacing w:line="550" w:lineRule="exact"/>
        <w:ind w:firstLine="640"/>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（一）优化法治化营商环境。</w:t>
      </w:r>
      <w:r>
        <w:rPr>
          <w:rFonts w:hint="default" w:ascii="Times New Roman" w:hAnsi="Times New Roman" w:eastAsia="方正仿宋_GBK" w:cs="Times New Roman"/>
          <w:sz w:val="32"/>
          <w:szCs w:val="32"/>
        </w:rPr>
        <w:t>一是商事改革再深入。持续推进“证照分离”“多证合一”，实现全区“三十一证合一”，自贸区“三十六证合一，推行“容缺受理”“审核合一”和“非禁即入”等制度；二是监管机制再完善。充实“双随机、一公开”联席会议成员单位2个，牵头组织部门联合抽查19次、抽查市场主体96户；三是信用监管再加强。实施事前、事中、事后相结合的全链条企业信用监管，完善“守信激励、失信惩戒”机制；四是公平竞争审查力度再加大。开展全区首次公平竞争第三方评估工作，</w:t>
      </w:r>
      <w:r>
        <w:rPr>
          <w:rFonts w:hint="default"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rPr>
        <w:t>年</w:t>
      </w:r>
      <w:r>
        <w:rPr>
          <w:rFonts w:hint="default" w:ascii="Times New Roman" w:hAnsi="Times New Roman" w:eastAsia="方正仿宋_GBK" w:cs="Times New Roman"/>
          <w:sz w:val="32"/>
          <w:szCs w:val="32"/>
          <w:lang w:val="zh-CN"/>
        </w:rPr>
        <w:t>审查</w:t>
      </w:r>
      <w:r>
        <w:rPr>
          <w:rFonts w:hint="default" w:ascii="Times New Roman" w:hAnsi="Times New Roman" w:eastAsia="方正仿宋_GBK" w:cs="Times New Roman"/>
          <w:sz w:val="32"/>
          <w:szCs w:val="32"/>
        </w:rPr>
        <w:t>全区</w:t>
      </w:r>
      <w:r>
        <w:rPr>
          <w:rFonts w:hint="default" w:ascii="Times New Roman" w:hAnsi="Times New Roman" w:eastAsia="方正仿宋_GBK" w:cs="Times New Roman"/>
          <w:sz w:val="32"/>
          <w:szCs w:val="32"/>
          <w:lang w:val="zh-CN"/>
        </w:rPr>
        <w:t>规范性文件及对外涉企文件、合同</w:t>
      </w:r>
      <w:r>
        <w:rPr>
          <w:rFonts w:hint="default" w:ascii="Times New Roman" w:hAnsi="Times New Roman" w:eastAsia="方正仿宋_GBK" w:cs="Times New Roman"/>
          <w:sz w:val="32"/>
          <w:szCs w:val="32"/>
        </w:rPr>
        <w:t>146件，与社区（村）签订无传销目标责任书，打造无传销网络信息平台，指导创建商业秘密保护示范单位。</w:t>
      </w:r>
    </w:p>
    <w:p>
      <w:pPr>
        <w:keepNext w:val="0"/>
        <w:keepLines w:val="0"/>
        <w:pageBreakBefore w:val="0"/>
        <w:kinsoku/>
        <w:wordWrap/>
        <w:topLinePunct w:val="0"/>
        <w:autoSpaceDE/>
        <w:autoSpaceDN/>
        <w:bidi w:val="0"/>
        <w:snapToGrid/>
        <w:spacing w:line="550" w:lineRule="exact"/>
        <w:ind w:firstLine="640" w:firstLineChars="200"/>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（二）严守市场安全底线。</w:t>
      </w:r>
      <w:r>
        <w:rPr>
          <w:rFonts w:hint="default" w:ascii="Times New Roman" w:hAnsi="Times New Roman" w:eastAsia="方正仿宋_GBK" w:cs="Times New Roman"/>
          <w:color w:val="000000"/>
          <w:kern w:val="0"/>
          <w:sz w:val="32"/>
          <w:szCs w:val="32"/>
        </w:rPr>
        <w:t>一是持续抓牢常态化疫情防控，强化进口冷链食品单位、药房“四类药品”销售登记和疫苗接种点监管，处置进口冷链食品涉疫事件5起，督促冷链食品从业人员疫苗接种、定期核酸检测全覆盖，加强进口高风险非冷链集装箱货物消毒记录和证明抽查。二是</w:t>
      </w:r>
      <w:r>
        <w:rPr>
          <w:rFonts w:hint="default" w:ascii="Times New Roman" w:hAnsi="Times New Roman" w:eastAsia="方正仿宋_GBK" w:cs="Times New Roman"/>
          <w:color w:val="000000"/>
          <w:kern w:val="0"/>
          <w:sz w:val="32"/>
          <w:szCs w:val="32"/>
          <w:lang w:val="zh-CN"/>
        </w:rPr>
        <w:t>强化食品药品安全监管，推进食品药品安全监管，</w:t>
      </w:r>
      <w:r>
        <w:rPr>
          <w:rFonts w:hint="default" w:ascii="Times New Roman" w:hAnsi="Times New Roman" w:eastAsia="方正仿宋_GBK" w:cs="Times New Roman"/>
          <w:color w:val="000000"/>
          <w:kern w:val="0"/>
          <w:sz w:val="32"/>
          <w:szCs w:val="32"/>
        </w:rPr>
        <w:t>扎实整治白酒、肉制品、保健食品、农村假冒伪劣食品、执业药师“挂证”行为等突出问题，完成“四品一械”监督抽检任务，今年我局荣获全国食品安全工作先进集体的表彰</w:t>
      </w:r>
      <w:r>
        <w:rPr>
          <w:rFonts w:hint="default" w:ascii="Times New Roman" w:hAnsi="Times New Roman" w:eastAsia="方正仿宋_GBK" w:cs="Times New Roman"/>
          <w:color w:val="000000"/>
          <w:kern w:val="0"/>
          <w:sz w:val="32"/>
          <w:szCs w:val="32"/>
          <w:lang w:val="zh-CN"/>
        </w:rPr>
        <w:t>。三是强化产品质量安全监管，</w:t>
      </w:r>
      <w:r>
        <w:rPr>
          <w:rFonts w:hint="default" w:ascii="Times New Roman" w:hAnsi="Times New Roman" w:eastAsia="方正仿宋_GBK" w:cs="Times New Roman"/>
          <w:color w:val="000000"/>
          <w:kern w:val="0"/>
          <w:sz w:val="32"/>
          <w:szCs w:val="32"/>
        </w:rPr>
        <w:t>推进</w:t>
      </w:r>
      <w:r>
        <w:rPr>
          <w:rFonts w:hint="default" w:ascii="Times New Roman" w:hAnsi="Times New Roman" w:eastAsia="方正仿宋_GBK" w:cs="Times New Roman"/>
          <w:color w:val="000000"/>
          <w:kern w:val="0"/>
          <w:sz w:val="32"/>
          <w:szCs w:val="32"/>
          <w:lang w:val="zh-CN"/>
        </w:rPr>
        <w:t>产品</w:t>
      </w:r>
      <w:r>
        <w:rPr>
          <w:rFonts w:hint="default" w:ascii="Times New Roman" w:hAnsi="Times New Roman" w:eastAsia="方正仿宋_GBK" w:cs="Times New Roman"/>
          <w:sz w:val="32"/>
          <w:szCs w:val="32"/>
          <w:lang w:val="zh-CN"/>
        </w:rPr>
        <w:t>质量安全监管，</w:t>
      </w:r>
      <w:r>
        <w:rPr>
          <w:rFonts w:hint="default" w:ascii="Times New Roman" w:hAnsi="Times New Roman" w:eastAsia="方正仿宋_GBK" w:cs="Times New Roman"/>
          <w:sz w:val="32"/>
          <w:szCs w:val="32"/>
        </w:rPr>
        <w:t>开</w:t>
      </w:r>
      <w:r>
        <w:rPr>
          <w:rFonts w:hint="default" w:ascii="Times New Roman" w:hAnsi="Times New Roman" w:eastAsia="方正仿宋_GBK" w:cs="Times New Roman"/>
          <w:bCs/>
          <w:sz w:val="32"/>
          <w:szCs w:val="32"/>
        </w:rPr>
        <w:t>展非医用口罩、农</w:t>
      </w:r>
      <w:r>
        <w:rPr>
          <w:rFonts w:hint="default" w:ascii="Times New Roman" w:hAnsi="Times New Roman" w:eastAsia="方正仿宋_GBK" w:cs="Times New Roman"/>
          <w:color w:val="000000"/>
          <w:kern w:val="0"/>
          <w:sz w:val="32"/>
          <w:szCs w:val="32"/>
        </w:rPr>
        <w:t>资产品、危化品包装物等专项整治，加强产品质量抽查，全力配合非法销售成品油的查处。四是强化特种设备安全监管，</w:t>
      </w:r>
      <w:r>
        <w:rPr>
          <w:rFonts w:hint="default" w:ascii="Times New Roman" w:hAnsi="Times New Roman" w:eastAsia="方正仿宋_GBK" w:cs="Times New Roman"/>
          <w:color w:val="000000"/>
          <w:kern w:val="0"/>
          <w:sz w:val="32"/>
          <w:szCs w:val="32"/>
          <w:lang w:val="zh-CN"/>
        </w:rPr>
        <w:t>推进特种设备安全监管，持续开展</w:t>
      </w:r>
      <w:r>
        <w:rPr>
          <w:rFonts w:hint="default" w:ascii="Times New Roman" w:hAnsi="Times New Roman" w:eastAsia="方正仿宋_GBK" w:cs="Times New Roman"/>
          <w:color w:val="000000"/>
          <w:kern w:val="0"/>
          <w:sz w:val="32"/>
          <w:szCs w:val="32"/>
        </w:rPr>
        <w:t>三大行动、三年提升等专项行动，完成在用燃气管道定检，大力排查辖区内电梯、起重机械和在用充装单位风险隐患，组织开展特种设备应急救援演练，完成老旧电梯改造任务。五</w:t>
      </w:r>
      <w:r>
        <w:rPr>
          <w:rFonts w:hint="default" w:ascii="Times New Roman" w:hAnsi="Times New Roman" w:eastAsia="方正仿宋_GBK" w:cs="Times New Roman"/>
          <w:color w:val="000000"/>
          <w:kern w:val="0"/>
          <w:sz w:val="32"/>
          <w:szCs w:val="32"/>
          <w:lang w:val="zh-CN"/>
        </w:rPr>
        <w:t>是</w:t>
      </w:r>
      <w:r>
        <w:rPr>
          <w:rFonts w:hint="default" w:ascii="Times New Roman" w:hAnsi="Times New Roman" w:eastAsia="方正仿宋_GBK" w:cs="Times New Roman"/>
          <w:color w:val="000000"/>
          <w:kern w:val="0"/>
          <w:sz w:val="32"/>
          <w:szCs w:val="32"/>
        </w:rPr>
        <w:t>切实防范化解重大风险，全面动员、全力以赴开展市场监管领域安全生产大排查大整治大执法百日行动，对排查出的问题，督促整改措施落实到位，配合区级部门妥善处理三峡广场某大厦爆炸突发事件，全力守护建党100周年安全稳定；分级分类建立工作台账，按照“一事一议”要求明确措施，限期化解、分类销号，形成闭环管理，切实排查风险化解隐患，今年以来未发生一起食品药品和特种设备安</w:t>
      </w:r>
      <w:r>
        <w:rPr>
          <w:rFonts w:hint="default" w:ascii="Times New Roman" w:hAnsi="Times New Roman" w:eastAsia="方正仿宋_GBK" w:cs="Times New Roman"/>
          <w:sz w:val="32"/>
          <w:szCs w:val="32"/>
        </w:rPr>
        <w:t>全事故，安全形势稳中向好。</w:t>
      </w:r>
    </w:p>
    <w:p>
      <w:pPr>
        <w:pStyle w:val="3"/>
        <w:keepNext w:val="0"/>
        <w:keepLines w:val="0"/>
        <w:pageBreakBefore w:val="0"/>
        <w:kinsoku/>
        <w:wordWrap/>
        <w:topLinePunct w:val="0"/>
        <w:autoSpaceDE/>
        <w:autoSpaceDN/>
        <w:bidi w:val="0"/>
        <w:snapToGrid/>
        <w:spacing w:after="0" w:line="550" w:lineRule="exact"/>
        <w:ind w:firstLine="640" w:firstLineChars="200"/>
        <w:rPr>
          <w:rFonts w:hint="default" w:ascii="Times New Roman" w:hAnsi="Times New Roman" w:eastAsia="方正仿宋_GBK" w:cs="Times New Roman"/>
          <w:color w:val="000000"/>
          <w:kern w:val="0"/>
          <w:sz w:val="32"/>
          <w:szCs w:val="32"/>
          <w:lang w:val="en-US" w:eastAsia="zh-CN" w:bidi="ar-SA"/>
        </w:rPr>
      </w:pPr>
      <w:r>
        <w:rPr>
          <w:rFonts w:hint="eastAsia" w:ascii="方正楷体_GBK" w:hAnsi="方正楷体_GBK" w:eastAsia="方正楷体_GBK" w:cs="方正楷体_GBK"/>
          <w:color w:val="000000"/>
          <w:kern w:val="0"/>
          <w:sz w:val="32"/>
          <w:szCs w:val="32"/>
          <w:lang w:val="en-US" w:eastAsia="zh-CN" w:bidi="ar-SA"/>
        </w:rPr>
        <w:t>（三）完善法治建设体系。</w:t>
      </w:r>
      <w:r>
        <w:rPr>
          <w:rFonts w:hint="default" w:ascii="Times New Roman" w:hAnsi="Times New Roman" w:eastAsia="方正仿宋_GBK" w:cs="Times New Roman"/>
          <w:color w:val="000000"/>
          <w:kern w:val="0"/>
          <w:sz w:val="32"/>
          <w:szCs w:val="32"/>
          <w:lang w:val="en-US" w:eastAsia="zh-CN" w:bidi="ar-SA"/>
        </w:rPr>
        <w:t>一是理顺执法层级，机构整合以来，执行市场监管系统市—区—所三级联系指导办案机制，我局实行执法支队与市场监管所两级办案制度，实现案件查办监督审核与处罚审批相分离，全局业务机构、法制机构、执法办案机构和纪检组织依照各自职能加强对执法办案的监督，梳理完善权责和公共服务事项清单并全部上网公开；二是加快完善依法行政制度体系。严格行政规范性文件合法性审核和备案审查，加强规范性文件监督管理。认真开展行政规范性文件全面清理工作，加快建设法治政府，维护人民群众合法权益，推进依法行政的一项重要任务抓紧抓实。组织召开专题会议，明确清理职责，清理范围，对规范性文件进行全方位清理审核。经清理,无我局制定并印发的行政规范性文件；三是持续推进科学民主依法决策。我局严格落实法律顾问的聘用制度，围绕重大行政决策、规范性文件制定、疑难行政复议诉讼案件、重要行政合同、重大突发性事件、直属企业历史遗留问题的解决、企业职工信访案件的答复等提供咨询论证和法律服务，促进依法办事，防范法律风险，切实发挥法律顾问的法制参谋和助手作用，避免“顾”而不“问”；四是规范行政执法行为，严格规范行政执法程序，健全完善重大执法决定法制审核制度、严格落实执法全过程记录等制度，持续开展执法案件及执法行为的监督工作。今年，某公司销售未取得批准证明文件的药品案被评为全系统十大典型网络案例。五是推行涉企包容审慎监管，成立区局涉企包容审慎监管工作领导小组，制定柔性执法事项“正面清单”和“负面清单”，严格按照《重庆市市场监管领域轻微违法经营行为免罚清单》对符合条件的轻微违法行为，不予行政处罚或从轻减轻处罚。</w:t>
      </w:r>
    </w:p>
    <w:p>
      <w:pPr>
        <w:keepNext w:val="0"/>
        <w:keepLines w:val="0"/>
        <w:pageBreakBefore w:val="0"/>
        <w:tabs>
          <w:tab w:val="left" w:pos="6300"/>
        </w:tabs>
        <w:kinsoku/>
        <w:wordWrap/>
        <w:topLinePunct w:val="0"/>
        <w:autoSpaceDE/>
        <w:autoSpaceDN/>
        <w:bidi w:val="0"/>
        <w:snapToGrid/>
        <w:spacing w:line="550" w:lineRule="exact"/>
        <w:ind w:firstLine="640"/>
        <w:outlineLvl w:val="9"/>
        <w:rPr>
          <w:rFonts w:hint="default" w:ascii="Times New Roman" w:hAnsi="Times New Roman" w:eastAsia="方正仿宋_GBK" w:cs="Times New Roman"/>
          <w:color w:val="000000"/>
          <w:kern w:val="0"/>
          <w:sz w:val="32"/>
          <w:szCs w:val="32"/>
        </w:rPr>
      </w:pPr>
      <w:r>
        <w:rPr>
          <w:rFonts w:hint="eastAsia" w:ascii="方正楷体_GBK" w:hAnsi="方正楷体_GBK" w:eastAsia="方正楷体_GBK" w:cs="方正楷体_GBK"/>
          <w:color w:val="000000"/>
          <w:kern w:val="0"/>
          <w:sz w:val="32"/>
          <w:szCs w:val="32"/>
          <w:lang w:val="en-US" w:eastAsia="zh-CN" w:bidi="ar-SA"/>
        </w:rPr>
        <w:t>（四）强化行政权力制约监督。</w:t>
      </w:r>
      <w:r>
        <w:rPr>
          <w:rFonts w:hint="default" w:ascii="Times New Roman" w:hAnsi="Times New Roman" w:eastAsia="方正仿宋_GBK" w:cs="Times New Roman"/>
          <w:color w:val="000000"/>
          <w:kern w:val="0"/>
          <w:sz w:val="32"/>
          <w:szCs w:val="32"/>
          <w:lang w:val="en-US" w:eastAsia="zh-CN" w:bidi="ar-SA"/>
        </w:rPr>
        <w:t>一是落实行政执法三项制度，严格落实行政执法公示制度，编制并公布执法权责清单及流程图，行政执法信息全部向社会公示公开。严格执行行政执法全过程记录制度，全部案件纸质文书留痕，对行政执法过程中容易引发争议的环节推行全过程音像记录。严格落实行政处罚案件负责人集体讨论制度，重要案件由案件负责人集体讨论会决定，全局所有行政案件法制审核率达100%。二</w:t>
      </w:r>
      <w:r>
        <w:rPr>
          <w:rFonts w:hint="default" w:ascii="Times New Roman" w:hAnsi="Times New Roman" w:eastAsia="方正仿宋_GBK" w:cs="Times New Roman"/>
          <w:color w:val="000000"/>
          <w:kern w:val="0"/>
          <w:sz w:val="32"/>
          <w:szCs w:val="32"/>
          <w:lang w:val="zh-CN" w:eastAsia="zh-CN" w:bidi="ar-SA"/>
        </w:rPr>
        <w:t>是创新行政司法协作机制，</w:t>
      </w:r>
      <w:r>
        <w:rPr>
          <w:rFonts w:hint="default" w:ascii="Times New Roman" w:hAnsi="Times New Roman" w:eastAsia="方正仿宋_GBK" w:cs="Times New Roman"/>
          <w:color w:val="000000"/>
          <w:kern w:val="0"/>
          <w:sz w:val="32"/>
          <w:szCs w:val="32"/>
          <w:lang w:val="en-US" w:eastAsia="zh-CN" w:bidi="ar-SA"/>
        </w:rPr>
        <w:t>“多元化+一站式”产品质量诉前纠纷调解机制有效运行，今年区法院涉及食品药品等产品责任纠纷立案399件。三</w:t>
      </w:r>
      <w:r>
        <w:rPr>
          <w:rFonts w:hint="default" w:ascii="Times New Roman" w:hAnsi="Times New Roman" w:eastAsia="方正仿宋_GBK" w:cs="Times New Roman"/>
          <w:color w:val="000000"/>
          <w:kern w:val="0"/>
          <w:sz w:val="32"/>
          <w:szCs w:val="32"/>
          <w:lang w:val="zh-CN" w:eastAsia="zh-CN" w:bidi="ar-SA"/>
        </w:rPr>
        <w:t>是自觉接受监督严格权力约束，</w:t>
      </w:r>
      <w:r>
        <w:rPr>
          <w:rFonts w:hint="default" w:ascii="Times New Roman" w:hAnsi="Times New Roman" w:eastAsia="方正仿宋_GBK" w:cs="Times New Roman"/>
          <w:color w:val="000000"/>
          <w:kern w:val="0"/>
          <w:sz w:val="32"/>
          <w:szCs w:val="32"/>
          <w:lang w:val="en-US" w:eastAsia="zh-CN" w:bidi="ar-SA"/>
        </w:rPr>
        <w:t>我局无拒不执行或拖延履行法院生效判决、裁定的行为，及时高效办理人大建议、政协提案，代表委员满意率100%，严格监督和纠正行政复议诉讼反映的突出问题，认真落实行政机关负责人出庭应诉规定，今年行政机关负责人出庭应诉率100%，尊重并执行人</w:t>
      </w:r>
      <w:r>
        <w:rPr>
          <w:rFonts w:hint="default" w:ascii="Times New Roman" w:hAnsi="Times New Roman" w:eastAsia="方正仿宋_GBK" w:cs="Times New Roman"/>
          <w:color w:val="000000"/>
          <w:kern w:val="0"/>
          <w:sz w:val="32"/>
          <w:szCs w:val="32"/>
        </w:rPr>
        <w:t>民法院生效判决。</w:t>
      </w:r>
      <w:r>
        <w:rPr>
          <w:rFonts w:hint="default" w:ascii="Times New Roman" w:hAnsi="Times New Roman" w:eastAsia="方正仿宋_GBK" w:cs="Times New Roman"/>
          <w:color w:val="000000"/>
          <w:kern w:val="0"/>
          <w:sz w:val="32"/>
          <w:szCs w:val="32"/>
          <w:lang w:val="en-US" w:eastAsia="zh-CN"/>
        </w:rPr>
        <w:t>四</w:t>
      </w:r>
      <w:r>
        <w:rPr>
          <w:rFonts w:hint="default" w:ascii="Times New Roman" w:hAnsi="Times New Roman" w:eastAsia="方正仿宋_GBK" w:cs="Times New Roman"/>
          <w:color w:val="000000"/>
          <w:kern w:val="0"/>
          <w:sz w:val="32"/>
          <w:szCs w:val="32"/>
          <w:lang w:val="zh-CN"/>
        </w:rPr>
        <w:t>是不断加大消费维权力度，</w:t>
      </w:r>
      <w:r>
        <w:rPr>
          <w:rFonts w:hint="default" w:ascii="Times New Roman" w:hAnsi="Times New Roman" w:eastAsia="方正仿宋_GBK" w:cs="Times New Roman"/>
          <w:color w:val="000000"/>
          <w:kern w:val="0"/>
          <w:sz w:val="32"/>
          <w:szCs w:val="32"/>
        </w:rPr>
        <w:t>深入推进放心消费创建，创建平安市场2家，新发展ODR企业10户，在国泰新汽车城率先试行汽车零配件产品线下无理由退货暨经营户首问和赔偿先付制度。</w:t>
      </w:r>
    </w:p>
    <w:p>
      <w:pPr>
        <w:keepNext w:val="0"/>
        <w:keepLines w:val="0"/>
        <w:pageBreakBefore w:val="0"/>
        <w:kinsoku/>
        <w:wordWrap/>
        <w:topLinePunct w:val="0"/>
        <w:autoSpaceDE/>
        <w:autoSpaceDN/>
        <w:bidi w:val="0"/>
        <w:snapToGrid/>
        <w:spacing w:line="550" w:lineRule="exact"/>
        <w:ind w:firstLine="640" w:firstLineChars="200"/>
        <w:outlineLvl w:val="9"/>
        <w:rPr>
          <w:rFonts w:hint="default" w:ascii="Times New Roman" w:hAnsi="Times New Roman" w:eastAsia="方正仿宋_GBK" w:cs="Times New Roman"/>
          <w:sz w:val="32"/>
          <w:szCs w:val="32"/>
        </w:rPr>
      </w:pPr>
      <w:r>
        <w:rPr>
          <w:rFonts w:hint="default" w:ascii="Times New Roman" w:hAnsi="Times New Roman" w:eastAsia="方正楷体_GBK" w:cs="Times New Roman"/>
          <w:bCs/>
          <w:sz w:val="32"/>
          <w:szCs w:val="32"/>
        </w:rPr>
        <w:t>（五）加大法治宣传教育力度。</w:t>
      </w:r>
      <w:r>
        <w:rPr>
          <w:rFonts w:hint="default" w:ascii="Times New Roman" w:hAnsi="Times New Roman" w:eastAsia="方正仿宋_GBK" w:cs="Times New Roman"/>
          <w:color w:val="000000"/>
          <w:kern w:val="0"/>
          <w:sz w:val="32"/>
          <w:szCs w:val="32"/>
          <w:lang w:val="zh-CN"/>
        </w:rPr>
        <w:t>一是抓好干部职工学法用法，</w:t>
      </w:r>
      <w:r>
        <w:rPr>
          <w:rFonts w:hint="default" w:ascii="Times New Roman" w:hAnsi="Times New Roman" w:eastAsia="方正仿宋_GBK" w:cs="Times New Roman"/>
          <w:color w:val="000000"/>
          <w:kern w:val="0"/>
          <w:sz w:val="32"/>
          <w:szCs w:val="32"/>
        </w:rPr>
        <w:t>进一步加大干部职工执法能力培训力度，通过上岗培训、定期轮训、专题培训等多种方式，提高学习和培训的针对性和实效性，重点开展食品药品、知识产权、特种设备、计量工作、质量管理、执法稽查监管等各类培训30场，参训4300余人次，举办本局首次“市场监管业务知识竞赛”，参赛186人、获奖52人，进一步提升了监管执法人员法治思维和依法行政能力。</w:t>
      </w:r>
      <w:r>
        <w:rPr>
          <w:rFonts w:hint="default" w:ascii="Times New Roman" w:hAnsi="Times New Roman" w:eastAsia="方正仿宋_GBK" w:cs="Times New Roman"/>
          <w:color w:val="000000"/>
          <w:kern w:val="0"/>
          <w:sz w:val="32"/>
          <w:szCs w:val="32"/>
          <w:lang w:val="zh-CN"/>
        </w:rPr>
        <w:t>二是扎实开展普法宣传，</w:t>
      </w:r>
      <w:r>
        <w:rPr>
          <w:rFonts w:hint="default" w:ascii="Times New Roman" w:hAnsi="Times New Roman" w:eastAsia="方正仿宋_GBK" w:cs="Times New Roman"/>
          <w:color w:val="000000"/>
          <w:kern w:val="0"/>
          <w:sz w:val="32"/>
          <w:szCs w:val="32"/>
        </w:rPr>
        <w:t>利用“3·15”、世界知识产权日、世界计量日、食品安全宣传周、全国安全用药月、质量月等重要时间节点，深入广场、学校、企业、社区等开展多种形式的宣传活动，覆盖面逾40000人次，有效提高群众学法用法守法意识。</w:t>
      </w:r>
      <w:r>
        <w:rPr>
          <w:rFonts w:hint="default" w:ascii="Times New Roman" w:hAnsi="Times New Roman" w:eastAsia="方正仿宋_GBK" w:cs="Times New Roman"/>
          <w:color w:val="000000"/>
          <w:kern w:val="0"/>
          <w:sz w:val="32"/>
          <w:szCs w:val="32"/>
          <w:lang w:val="zh-CN"/>
        </w:rPr>
        <w:t>三是落实“谁执法谁普法”责任，结合监</w:t>
      </w:r>
      <w:r>
        <w:rPr>
          <w:rFonts w:hint="default" w:ascii="Times New Roman" w:hAnsi="Times New Roman" w:eastAsia="方正仿宋_GBK" w:cs="Times New Roman"/>
          <w:sz w:val="32"/>
          <w:szCs w:val="32"/>
          <w:lang w:val="zh-CN"/>
        </w:rPr>
        <w:t>管工作实际，把普法教育工作贯穿于事前、事中、事后全过程，利用门户网、微信公众号等，普及法律法规知识</w:t>
      </w:r>
      <w:r>
        <w:rPr>
          <w:rFonts w:hint="default" w:ascii="Times New Roman" w:hAnsi="Times New Roman" w:eastAsia="方正仿宋_GBK" w:cs="Times New Roman"/>
          <w:sz w:val="32"/>
          <w:szCs w:val="32"/>
        </w:rPr>
        <w:t>，强化对重点或高风险企业负责人和相关人员的培训，开展学校食堂、大型及网红餐饮、食品生产企业和加工小作坊的培训，联合区法院组织中、大型超市食品安全培训，针对经营进口冷链的企业进行疫情防控约谈，培训相关从业人员10000余人次。</w:t>
      </w:r>
    </w:p>
    <w:p>
      <w:pPr>
        <w:pStyle w:val="6"/>
        <w:keepNext w:val="0"/>
        <w:keepLines w:val="0"/>
        <w:pageBreakBefore w:val="0"/>
        <w:kinsoku/>
        <w:wordWrap/>
        <w:topLinePunct w:val="0"/>
        <w:autoSpaceDE/>
        <w:autoSpaceDN/>
        <w:bidi w:val="0"/>
        <w:snapToGrid/>
        <w:spacing w:after="0" w:line="550" w:lineRule="exact"/>
        <w:ind w:firstLine="640" w:firstLineChars="200"/>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三、存在的</w:t>
      </w:r>
      <w:r>
        <w:rPr>
          <w:rFonts w:hint="default" w:ascii="Times New Roman" w:hAnsi="Times New Roman" w:eastAsia="方正黑体_GBK" w:cs="Times New Roman"/>
          <w:sz w:val="32"/>
          <w:szCs w:val="32"/>
          <w:lang w:val="en-US" w:eastAsia="zh-CN"/>
        </w:rPr>
        <w:t>问题与</w:t>
      </w:r>
      <w:r>
        <w:rPr>
          <w:rFonts w:hint="default" w:ascii="Times New Roman" w:hAnsi="Times New Roman" w:eastAsia="方正黑体_GBK" w:cs="Times New Roman"/>
          <w:sz w:val="32"/>
          <w:szCs w:val="32"/>
        </w:rPr>
        <w:t>不足</w:t>
      </w:r>
    </w:p>
    <w:p>
      <w:pPr>
        <w:pStyle w:val="6"/>
        <w:keepNext w:val="0"/>
        <w:keepLines w:val="0"/>
        <w:pageBreakBefore w:val="0"/>
        <w:kinsoku/>
        <w:wordWrap/>
        <w:topLinePunct w:val="0"/>
        <w:autoSpaceDE/>
        <w:autoSpaceDN/>
        <w:bidi w:val="0"/>
        <w:snapToGrid/>
        <w:spacing w:after="0" w:line="550" w:lineRule="exact"/>
        <w:ind w:firstLine="640" w:firstLineChars="200"/>
        <w:outlineLvl w:val="9"/>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虽然我局法治政府建设取得了一定成效，但仍存在一些差距和不足，主要表现在：</w:t>
      </w:r>
      <w:r>
        <w:rPr>
          <w:rFonts w:hint="default" w:ascii="Times New Roman" w:hAnsi="Times New Roman" w:eastAsia="方正仿宋_GBK" w:cs="Times New Roman"/>
          <w:kern w:val="0"/>
          <w:sz w:val="32"/>
          <w:szCs w:val="32"/>
          <w:lang w:val="en-US" w:eastAsia="zh-CN"/>
        </w:rPr>
        <w:t>一是</w:t>
      </w:r>
      <w:r>
        <w:rPr>
          <w:rFonts w:hint="default" w:ascii="Times New Roman" w:hAnsi="Times New Roman" w:eastAsia="方正仿宋_GBK" w:cs="Times New Roman"/>
          <w:kern w:val="0"/>
          <w:sz w:val="32"/>
          <w:szCs w:val="32"/>
        </w:rPr>
        <w:t>对相关法律、法规和规章的学习掌握还不够全面系统，</w:t>
      </w:r>
      <w:r>
        <w:rPr>
          <w:rFonts w:hint="default" w:ascii="Times New Roman" w:hAnsi="Times New Roman" w:eastAsia="方正仿宋_GBK" w:cs="Times New Roman"/>
          <w:kern w:val="0"/>
          <w:sz w:val="32"/>
          <w:szCs w:val="32"/>
          <w:lang w:val="en-US" w:eastAsia="zh-CN"/>
        </w:rPr>
        <w:t>执法人员的</w:t>
      </w:r>
      <w:r>
        <w:rPr>
          <w:rFonts w:hint="eastAsia" w:eastAsia="方正仿宋_GBK" w:cs="Times New Roman"/>
          <w:kern w:val="0"/>
          <w:sz w:val="32"/>
          <w:szCs w:val="32"/>
          <w:lang w:eastAsia="zh-CN"/>
        </w:rPr>
        <w:t>法治</w:t>
      </w:r>
      <w:r>
        <w:rPr>
          <w:rFonts w:hint="default" w:ascii="Times New Roman" w:hAnsi="Times New Roman" w:eastAsia="方正仿宋_GBK" w:cs="Times New Roman"/>
          <w:kern w:val="0"/>
          <w:sz w:val="32"/>
          <w:szCs w:val="32"/>
        </w:rPr>
        <w:t>意识和能力有待进一步提升</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lang w:val="en-US" w:eastAsia="zh-CN"/>
        </w:rPr>
        <w:t>二是</w:t>
      </w:r>
      <w:r>
        <w:rPr>
          <w:rFonts w:hint="default" w:ascii="Times New Roman" w:hAnsi="Times New Roman" w:eastAsia="方正仿宋_GBK" w:cs="Times New Roman"/>
          <w:kern w:val="0"/>
          <w:sz w:val="32"/>
          <w:szCs w:val="32"/>
        </w:rPr>
        <w:t>法治建设和业务工作的融合性不够</w:t>
      </w:r>
      <w:r>
        <w:rPr>
          <w:rFonts w:hint="default" w:ascii="Times New Roman" w:hAnsi="Times New Roman" w:eastAsia="方正仿宋_GBK" w:cs="Times New Roman"/>
          <w:kern w:val="0"/>
          <w:sz w:val="32"/>
          <w:szCs w:val="32"/>
          <w:lang w:eastAsia="zh-CN"/>
        </w:rPr>
        <w:t>，</w:t>
      </w:r>
      <w:r>
        <w:rPr>
          <w:rFonts w:hint="default" w:ascii="Times New Roman" w:hAnsi="Times New Roman" w:eastAsia="方正仿宋_GBK" w:cs="Times New Roman"/>
          <w:kern w:val="0"/>
          <w:sz w:val="32"/>
          <w:szCs w:val="32"/>
        </w:rPr>
        <w:t>各科室负责人是本科室法治建设第一责任人的意识不够强。</w:t>
      </w:r>
      <w:r>
        <w:rPr>
          <w:rFonts w:hint="default" w:ascii="Times New Roman" w:hAnsi="Times New Roman" w:eastAsia="方正仿宋_GBK" w:cs="Times New Roman"/>
          <w:kern w:val="0"/>
          <w:sz w:val="32"/>
          <w:szCs w:val="32"/>
        </w:rPr>
        <w:br w:type="textWrapping"/>
      </w: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黑体_GBK" w:cs="Times New Roman"/>
          <w:sz w:val="32"/>
          <w:szCs w:val="32"/>
          <w:lang w:val="en-US" w:eastAsia="zh-CN"/>
        </w:rPr>
        <w:t>四、2022年</w:t>
      </w:r>
      <w:r>
        <w:rPr>
          <w:rFonts w:hint="default" w:ascii="Times New Roman" w:hAnsi="Times New Roman" w:eastAsia="方正黑体_GBK" w:cs="Times New Roman"/>
          <w:sz w:val="32"/>
          <w:szCs w:val="32"/>
        </w:rPr>
        <w:t xml:space="preserve">工作打算    </w:t>
      </w:r>
      <w:r>
        <w:rPr>
          <w:rFonts w:hint="default" w:ascii="Times New Roman" w:hAnsi="Times New Roman" w:eastAsia="方正仿宋_GBK" w:cs="Times New Roman"/>
          <w:kern w:val="0"/>
          <w:sz w:val="32"/>
          <w:szCs w:val="32"/>
        </w:rPr>
        <w:t xml:space="preserve">                  </w:t>
      </w:r>
    </w:p>
    <w:p>
      <w:pPr>
        <w:pStyle w:val="6"/>
        <w:keepNext w:val="0"/>
        <w:keepLines w:val="0"/>
        <w:pageBreakBefore w:val="0"/>
        <w:kinsoku/>
        <w:wordWrap/>
        <w:topLinePunct w:val="0"/>
        <w:autoSpaceDE/>
        <w:autoSpaceDN/>
        <w:bidi w:val="0"/>
        <w:snapToGrid/>
        <w:spacing w:after="0" w:line="550" w:lineRule="exact"/>
        <w:ind w:firstLine="640" w:firstLineChars="200"/>
        <w:outlineLvl w:val="9"/>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我们将深入学习贯彻习近平法治思想，全面学习贯彻中央全面依法治国工作会议精神，全面贯彻落实党中央、国务院决策部署和市委市政府、区委区政府和市局的工作要求，统筹推进法治政府建设各项任务。</w:t>
      </w:r>
      <w:r>
        <w:rPr>
          <w:rFonts w:hint="default" w:ascii="Times New Roman" w:hAnsi="Times New Roman" w:eastAsia="方正仿宋_GBK" w:cs="Times New Roman"/>
          <w:kern w:val="0"/>
          <w:sz w:val="32"/>
          <w:szCs w:val="32"/>
          <w:lang w:val="en-US" w:eastAsia="zh-CN"/>
        </w:rPr>
        <w:t>一是</w:t>
      </w:r>
      <w:r>
        <w:rPr>
          <w:rFonts w:hint="default" w:ascii="Times New Roman" w:hAnsi="Times New Roman" w:eastAsia="方正仿宋_GBK" w:cs="Times New Roman"/>
          <w:kern w:val="0"/>
          <w:sz w:val="32"/>
          <w:szCs w:val="32"/>
        </w:rPr>
        <w:t>努力提升干部的法治素养。开展形式多样的教育培训，完善干部的知识储备，提高干部尊法学法守法用法意识。</w:t>
      </w:r>
      <w:r>
        <w:rPr>
          <w:rFonts w:hint="default" w:ascii="Times New Roman" w:hAnsi="Times New Roman" w:eastAsia="方正仿宋_GBK" w:cs="Times New Roman"/>
          <w:kern w:val="0"/>
          <w:sz w:val="32"/>
          <w:szCs w:val="32"/>
          <w:lang w:val="en-US" w:eastAsia="zh-CN"/>
        </w:rPr>
        <w:t>二</w:t>
      </w:r>
      <w:r>
        <w:rPr>
          <w:rFonts w:hint="default" w:ascii="Times New Roman" w:hAnsi="Times New Roman" w:eastAsia="方正仿宋_GBK" w:cs="Times New Roman"/>
          <w:kern w:val="0"/>
          <w:sz w:val="32"/>
          <w:szCs w:val="32"/>
        </w:rPr>
        <w:t>切实发挥党组织在推进市场监管法治建设中的领导核心作用。不断深化以主要负责人履行第一责任人职责为核心，分管负责人齐抓共管、科室主要负责人为科室第一责任人、全局干部共建法治市场监管的良性运作体系，进一步压实各条线法治建设责任，全面实现“法治工作全局化、全局工作法治化”</w:t>
      </w:r>
      <w:r>
        <w:rPr>
          <w:rFonts w:hint="default" w:ascii="Times New Roman" w:hAnsi="Times New Roman" w:eastAsia="方正仿宋_GBK" w:cs="Times New Roman"/>
          <w:kern w:val="0"/>
          <w:sz w:val="32"/>
          <w:szCs w:val="32"/>
          <w:lang w:eastAsia="zh-CN"/>
        </w:rPr>
        <w:t>。</w:t>
      </w:r>
    </w:p>
    <w:p>
      <w:pPr>
        <w:pStyle w:val="13"/>
        <w:keepNext w:val="0"/>
        <w:keepLines w:val="0"/>
        <w:pageBreakBefore w:val="0"/>
        <w:widowControl/>
        <w:kinsoku/>
        <w:wordWrap/>
        <w:overflowPunct w:val="0"/>
        <w:topLinePunct w:val="0"/>
        <w:autoSpaceDE/>
        <w:autoSpaceDN/>
        <w:bidi w:val="0"/>
        <w:snapToGrid/>
        <w:spacing w:after="0" w:line="550" w:lineRule="exact"/>
        <w:ind w:firstLine="660" w:firstLineChars="200"/>
        <w:jc w:val="both"/>
        <w:outlineLvl w:val="9"/>
        <w:rPr>
          <w:rFonts w:hint="default" w:ascii="Times New Roman" w:hAnsi="Times New Roman" w:eastAsia="方正仿宋_GBK" w:cs="Times New Roman"/>
          <w:sz w:val="33"/>
          <w:szCs w:val="33"/>
        </w:rPr>
      </w:pPr>
    </w:p>
    <w:p>
      <w:pPr>
        <w:keepNext w:val="0"/>
        <w:keepLines w:val="0"/>
        <w:pageBreakBefore w:val="0"/>
        <w:kinsoku/>
        <w:wordWrap/>
        <w:topLinePunct w:val="0"/>
        <w:autoSpaceDE/>
        <w:autoSpaceDN/>
        <w:bidi w:val="0"/>
        <w:snapToGrid/>
        <w:spacing w:line="550" w:lineRule="exact"/>
        <w:outlineLvl w:val="9"/>
        <w:rPr>
          <w:rFonts w:hint="default" w:ascii="Times New Roman" w:hAnsi="Times New Roman" w:eastAsia="仿宋_GB2312" w:cs="Times New Roman"/>
          <w:sz w:val="32"/>
          <w:szCs w:val="32"/>
        </w:rPr>
      </w:pPr>
    </w:p>
    <w:p>
      <w:pPr>
        <w:keepNext w:val="0"/>
        <w:keepLines w:val="0"/>
        <w:pageBreakBefore w:val="0"/>
        <w:tabs>
          <w:tab w:val="left" w:pos="6012"/>
        </w:tabs>
        <w:kinsoku/>
        <w:wordWrap/>
        <w:topLinePunct w:val="0"/>
        <w:autoSpaceDE/>
        <w:autoSpaceDN/>
        <w:bidi w:val="0"/>
        <w:snapToGrid/>
        <w:spacing w:line="550" w:lineRule="exact"/>
        <w:outlineLvl w:val="9"/>
        <w:rPr>
          <w:rFonts w:hint="default" w:ascii="Times New Roman" w:hAnsi="Times New Roman" w:cs="Times New Roman"/>
        </w:rPr>
      </w:pP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-250825</wp:posOffset>
              </wp:positionV>
              <wp:extent cx="7239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23900" cy="1828800"/>
                      </a:xfrm>
                      <a:prstGeom prst="rect">
                        <a:avLst/>
                      </a:prstGeom>
                      <a:noFill/>
                      <a:ln>
                        <a:noFill/>
                      </a:ln>
                    </wps:spPr>
                    <wps:txbx>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wps:txbx>
                    <wps:bodyPr lIns="0" tIns="0" rIns="0" bIns="0" upright="true">
                      <a:spAutoFit/>
                    </wps:bodyPr>
                  </wps:wsp>
                </a:graphicData>
              </a:graphic>
            </wp:anchor>
          </w:drawing>
        </mc:Choice>
        <mc:Fallback>
          <w:pict>
            <v:shape id="_x0000_s1026" o:spid="_x0000_s1026" o:spt="202" type="#_x0000_t202" style="position:absolute;left:0pt;margin-top:-19.75pt;height:144pt;width:57pt;mso-position-horizontal:outside;mso-position-horizontal-relative:margin;z-index:251659264;mso-width-relative:page;mso-height-relative:page;" filled="f" stroked="f" coordsize="21600,21600" o:gfxdata="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JrHZoHWAAAACAEAAA8AAAAAAAAAAQAgAAAAOAAAAGRycy9kb3ducmV2Lnht&#10;bFBLAQIUABQAAAAIAIdO4kClZ0UyrAEAAEQDAAAOAAAAAAAAAAEAIAAAADsBAABkcnMvZTJvRG9j&#10;LnhtbFBLBQYAAAAABgAGAFkBAABZBQAAAAA=&#10;">
              <v:fill on="f" focussize="0,0"/>
              <v:stroke on="f"/>
              <v:imagedata o:title=""/>
              <o:lock v:ext="edit" aspectratio="f"/>
              <v:textbox inset="0mm,0mm,0mm,0mm" style="mso-fit-shape-to-text:t;">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4YmRmM2YyYzY4NzE2N2U4MzU5YWRkM2UxZTY5NjkifQ=="/>
  </w:docVars>
  <w:rsids>
    <w:rsidRoot w:val="008F6F13"/>
    <w:rsid w:val="0001727B"/>
    <w:rsid w:val="00017BC7"/>
    <w:rsid w:val="0003004B"/>
    <w:rsid w:val="00096CB0"/>
    <w:rsid w:val="000D2AAB"/>
    <w:rsid w:val="000D40C8"/>
    <w:rsid w:val="000E1EC1"/>
    <w:rsid w:val="000E716E"/>
    <w:rsid w:val="0010723C"/>
    <w:rsid w:val="00126EF1"/>
    <w:rsid w:val="001271E6"/>
    <w:rsid w:val="00136C40"/>
    <w:rsid w:val="00147174"/>
    <w:rsid w:val="00175BCD"/>
    <w:rsid w:val="00182BE0"/>
    <w:rsid w:val="001B2B3A"/>
    <w:rsid w:val="001B3390"/>
    <w:rsid w:val="001C797C"/>
    <w:rsid w:val="001D5246"/>
    <w:rsid w:val="001F378C"/>
    <w:rsid w:val="00200EE7"/>
    <w:rsid w:val="0020186B"/>
    <w:rsid w:val="0022089B"/>
    <w:rsid w:val="00221F68"/>
    <w:rsid w:val="0022614C"/>
    <w:rsid w:val="002862BE"/>
    <w:rsid w:val="0029219B"/>
    <w:rsid w:val="002A039C"/>
    <w:rsid w:val="002C14CB"/>
    <w:rsid w:val="002C1D38"/>
    <w:rsid w:val="002E0C11"/>
    <w:rsid w:val="00307653"/>
    <w:rsid w:val="00317B46"/>
    <w:rsid w:val="00337BF8"/>
    <w:rsid w:val="0035589E"/>
    <w:rsid w:val="00361418"/>
    <w:rsid w:val="00385CA1"/>
    <w:rsid w:val="00392DFB"/>
    <w:rsid w:val="003A465D"/>
    <w:rsid w:val="003C7D47"/>
    <w:rsid w:val="003F518E"/>
    <w:rsid w:val="004231ED"/>
    <w:rsid w:val="004272B3"/>
    <w:rsid w:val="00440025"/>
    <w:rsid w:val="00490C53"/>
    <w:rsid w:val="00496920"/>
    <w:rsid w:val="004E5E9D"/>
    <w:rsid w:val="00510B06"/>
    <w:rsid w:val="0052424C"/>
    <w:rsid w:val="00552837"/>
    <w:rsid w:val="00583C0B"/>
    <w:rsid w:val="005A0E57"/>
    <w:rsid w:val="005A5A7A"/>
    <w:rsid w:val="005B45DF"/>
    <w:rsid w:val="005C3188"/>
    <w:rsid w:val="005C5C0F"/>
    <w:rsid w:val="00611A0D"/>
    <w:rsid w:val="00630D9D"/>
    <w:rsid w:val="00692174"/>
    <w:rsid w:val="006F455F"/>
    <w:rsid w:val="00701374"/>
    <w:rsid w:val="00712138"/>
    <w:rsid w:val="007122FE"/>
    <w:rsid w:val="007314A5"/>
    <w:rsid w:val="00753D41"/>
    <w:rsid w:val="00763CC1"/>
    <w:rsid w:val="00765B4E"/>
    <w:rsid w:val="00770CEE"/>
    <w:rsid w:val="007B704C"/>
    <w:rsid w:val="007B7E7E"/>
    <w:rsid w:val="007C1132"/>
    <w:rsid w:val="007C660D"/>
    <w:rsid w:val="007D4C7B"/>
    <w:rsid w:val="007F1C58"/>
    <w:rsid w:val="007F31C2"/>
    <w:rsid w:val="007F76DE"/>
    <w:rsid w:val="0084708C"/>
    <w:rsid w:val="008473DD"/>
    <w:rsid w:val="008754A5"/>
    <w:rsid w:val="008B39F4"/>
    <w:rsid w:val="008C6528"/>
    <w:rsid w:val="008F6F13"/>
    <w:rsid w:val="009018A8"/>
    <w:rsid w:val="00970551"/>
    <w:rsid w:val="009731BC"/>
    <w:rsid w:val="00974073"/>
    <w:rsid w:val="009748C8"/>
    <w:rsid w:val="00995923"/>
    <w:rsid w:val="009B6774"/>
    <w:rsid w:val="009E1BBB"/>
    <w:rsid w:val="00A124D5"/>
    <w:rsid w:val="00A12EF6"/>
    <w:rsid w:val="00A313DF"/>
    <w:rsid w:val="00A440CC"/>
    <w:rsid w:val="00A51A25"/>
    <w:rsid w:val="00A540AA"/>
    <w:rsid w:val="00A63FC4"/>
    <w:rsid w:val="00A6654B"/>
    <w:rsid w:val="00A71D0A"/>
    <w:rsid w:val="00A979CD"/>
    <w:rsid w:val="00AC1556"/>
    <w:rsid w:val="00AE0A84"/>
    <w:rsid w:val="00AE63DC"/>
    <w:rsid w:val="00AF2F05"/>
    <w:rsid w:val="00AF7EAE"/>
    <w:rsid w:val="00B164E8"/>
    <w:rsid w:val="00B208E9"/>
    <w:rsid w:val="00B43A2C"/>
    <w:rsid w:val="00B5215D"/>
    <w:rsid w:val="00B65141"/>
    <w:rsid w:val="00B91440"/>
    <w:rsid w:val="00BB1894"/>
    <w:rsid w:val="00BB7418"/>
    <w:rsid w:val="00BD57A7"/>
    <w:rsid w:val="00BE036A"/>
    <w:rsid w:val="00BE67E5"/>
    <w:rsid w:val="00C12D64"/>
    <w:rsid w:val="00C1516A"/>
    <w:rsid w:val="00C23281"/>
    <w:rsid w:val="00C32DB4"/>
    <w:rsid w:val="00C55901"/>
    <w:rsid w:val="00CB1624"/>
    <w:rsid w:val="00CB5FC3"/>
    <w:rsid w:val="00CC569E"/>
    <w:rsid w:val="00CD520A"/>
    <w:rsid w:val="00CF130A"/>
    <w:rsid w:val="00CF6B53"/>
    <w:rsid w:val="00D20AE8"/>
    <w:rsid w:val="00D23A5E"/>
    <w:rsid w:val="00D27FD3"/>
    <w:rsid w:val="00D41DA3"/>
    <w:rsid w:val="00D50E65"/>
    <w:rsid w:val="00D63CCB"/>
    <w:rsid w:val="00D91BAF"/>
    <w:rsid w:val="00DA11B5"/>
    <w:rsid w:val="00DA5880"/>
    <w:rsid w:val="00DA5B58"/>
    <w:rsid w:val="00DC0352"/>
    <w:rsid w:val="00DD5CBB"/>
    <w:rsid w:val="00DE6842"/>
    <w:rsid w:val="00E365C2"/>
    <w:rsid w:val="00E611C1"/>
    <w:rsid w:val="00E62ABA"/>
    <w:rsid w:val="00E66378"/>
    <w:rsid w:val="00E66EA5"/>
    <w:rsid w:val="00E81777"/>
    <w:rsid w:val="00EA4C8E"/>
    <w:rsid w:val="00ED3E45"/>
    <w:rsid w:val="00F06A99"/>
    <w:rsid w:val="00F24BC9"/>
    <w:rsid w:val="00F3477E"/>
    <w:rsid w:val="00F41622"/>
    <w:rsid w:val="00F5384E"/>
    <w:rsid w:val="00F55530"/>
    <w:rsid w:val="00F565DA"/>
    <w:rsid w:val="00F57076"/>
    <w:rsid w:val="00FA4B98"/>
    <w:rsid w:val="00FA791D"/>
    <w:rsid w:val="00FB3C22"/>
    <w:rsid w:val="00FC0368"/>
    <w:rsid w:val="00FC41D2"/>
    <w:rsid w:val="00FC7E24"/>
    <w:rsid w:val="00FE6D53"/>
    <w:rsid w:val="00FF46FF"/>
    <w:rsid w:val="05FE7285"/>
    <w:rsid w:val="106B1D32"/>
    <w:rsid w:val="10863369"/>
    <w:rsid w:val="129245E0"/>
    <w:rsid w:val="133A105E"/>
    <w:rsid w:val="154B21DA"/>
    <w:rsid w:val="1BA548B0"/>
    <w:rsid w:val="23566F27"/>
    <w:rsid w:val="23B24756"/>
    <w:rsid w:val="26B741BD"/>
    <w:rsid w:val="26CE456B"/>
    <w:rsid w:val="31CD153E"/>
    <w:rsid w:val="33C00B55"/>
    <w:rsid w:val="3B323272"/>
    <w:rsid w:val="3B7B6E8D"/>
    <w:rsid w:val="40A93F88"/>
    <w:rsid w:val="43293E3D"/>
    <w:rsid w:val="4CE01C09"/>
    <w:rsid w:val="4FE865CF"/>
    <w:rsid w:val="52A631B4"/>
    <w:rsid w:val="558241BA"/>
    <w:rsid w:val="55D23211"/>
    <w:rsid w:val="55DC290C"/>
    <w:rsid w:val="5AEC7B96"/>
    <w:rsid w:val="6143146A"/>
    <w:rsid w:val="61C93449"/>
    <w:rsid w:val="67ED1087"/>
    <w:rsid w:val="68ED7DF2"/>
    <w:rsid w:val="69994AD5"/>
    <w:rsid w:val="6A4F12FC"/>
    <w:rsid w:val="7092724A"/>
    <w:rsid w:val="70EF6170"/>
    <w:rsid w:val="73A24D3A"/>
    <w:rsid w:val="746A30F2"/>
    <w:rsid w:val="77145783"/>
    <w:rsid w:val="78313768"/>
    <w:rsid w:val="785C3FFB"/>
    <w:rsid w:val="7C74334E"/>
    <w:rsid w:val="7EA26324"/>
    <w:rsid w:val="7FFDED5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w:basedOn w:val="1"/>
    <w:link w:val="14"/>
    <w:unhideWhenUsed/>
    <w:qFormat/>
    <w:uiPriority w:val="99"/>
    <w:pPr>
      <w:spacing w:after="120"/>
    </w:p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2"/>
    <w:basedOn w:val="1"/>
    <w:link w:val="10"/>
    <w:unhideWhenUsed/>
    <w:qFormat/>
    <w:uiPriority w:val="0"/>
    <w:pPr>
      <w:spacing w:after="120" w:line="480" w:lineRule="auto"/>
    </w:pPr>
  </w:style>
  <w:style w:type="paragraph" w:styleId="7">
    <w:name w:val="Normal (Web)"/>
    <w:basedOn w:val="1"/>
    <w:qFormat/>
    <w:uiPriority w:val="0"/>
    <w:pPr>
      <w:widowControl/>
      <w:spacing w:before="100" w:beforeAutospacing="1" w:after="100" w:afterAutospacing="1"/>
      <w:jc w:val="left"/>
    </w:pPr>
    <w:rPr>
      <w:rFonts w:ascii="宋体" w:hAnsi="宋体" w:eastAsia="方正仿宋_GBK"/>
      <w:kern w:val="0"/>
      <w:sz w:val="24"/>
      <w:szCs w:val="20"/>
    </w:rPr>
  </w:style>
  <w:style w:type="character" w:customStyle="1" w:styleId="10">
    <w:name w:val="正文文本 2 Char"/>
    <w:basedOn w:val="9"/>
    <w:link w:val="6"/>
    <w:qFormat/>
    <w:uiPriority w:val="0"/>
    <w:rPr>
      <w:rFonts w:ascii="Times New Roman" w:hAnsi="Times New Roman" w:eastAsia="宋体" w:cs="Times New Roman"/>
      <w:szCs w:val="24"/>
    </w:rPr>
  </w:style>
  <w:style w:type="character" w:customStyle="1" w:styleId="11">
    <w:name w:val="页眉 Char"/>
    <w:basedOn w:val="9"/>
    <w:link w:val="5"/>
    <w:semiHidden/>
    <w:qFormat/>
    <w:uiPriority w:val="99"/>
    <w:rPr>
      <w:rFonts w:ascii="Times New Roman" w:hAnsi="Times New Roman" w:eastAsia="宋体" w:cs="Times New Roman"/>
      <w:sz w:val="18"/>
      <w:szCs w:val="18"/>
    </w:rPr>
  </w:style>
  <w:style w:type="character" w:customStyle="1" w:styleId="12">
    <w:name w:val="页脚 Char"/>
    <w:basedOn w:val="9"/>
    <w:link w:val="4"/>
    <w:qFormat/>
    <w:uiPriority w:val="99"/>
    <w:rPr>
      <w:rFonts w:ascii="Times New Roman" w:hAnsi="Times New Roman" w:eastAsia="宋体" w:cs="Times New Roman"/>
      <w:sz w:val="18"/>
      <w:szCs w:val="18"/>
    </w:rPr>
  </w:style>
  <w:style w:type="paragraph" w:customStyle="1" w:styleId="13">
    <w:name w:val="Body Text First Indent1"/>
    <w:basedOn w:val="3"/>
    <w:qFormat/>
    <w:uiPriority w:val="0"/>
    <w:pPr>
      <w:adjustRightInd w:val="0"/>
      <w:spacing w:after="0" w:line="275" w:lineRule="atLeast"/>
      <w:ind w:firstLine="420"/>
      <w:jc w:val="center"/>
      <w:textAlignment w:val="baseline"/>
    </w:pPr>
    <w:rPr>
      <w:sz w:val="36"/>
      <w:szCs w:val="20"/>
    </w:rPr>
  </w:style>
  <w:style w:type="character" w:customStyle="1" w:styleId="14">
    <w:name w:val="正文文本 Char"/>
    <w:basedOn w:val="9"/>
    <w:link w:val="3"/>
    <w:semiHidden/>
    <w:qFormat/>
    <w:uiPriority w:val="99"/>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3437</Words>
  <Characters>3485</Characters>
  <Lines>20</Lines>
  <Paragraphs>5</Paragraphs>
  <TotalTime>16</TotalTime>
  <ScaleCrop>false</ScaleCrop>
  <LinksUpToDate>false</LinksUpToDate>
  <CharactersWithSpaces>3511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2022-01-26T10:44:00Z</dcterms:created>
  <dc:creator>VIPUSER</dc:creator>
  <cp:lastModifiedBy>scjgj</cp:lastModifiedBy>
  <cp:lastPrinted>2022-01-18T12:03:00Z</cp:lastPrinted>
  <dcterms:modified xsi:type="dcterms:W3CDTF">2023-10-17T10:07:20Z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903BB99875AD418096590E9417FBCE21</vt:lpwstr>
  </property>
</Properties>
</file>