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附件3</w:t>
      </w:r>
    </w:p>
    <w:p>
      <w:pPr>
        <w:pStyle w:val="2"/>
        <w:keepNext w:val="0"/>
        <w:keepLines w:val="0"/>
        <w:pageBreakBefore w:val="0"/>
        <w:kinsoku/>
        <w:overflowPunct/>
        <w:topLinePunct w:val="0"/>
        <w:autoSpaceDE/>
        <w:autoSpaceDN/>
        <w:bidi w:val="0"/>
        <w:adjustRightInd/>
        <w:spacing w:line="600" w:lineRule="exact"/>
        <w:rPr>
          <w:rFonts w:hint="eastAsia" w:ascii="方正仿宋_GBK" w:hAnsi="方正仿宋_GBK" w:eastAsia="方正仿宋_GBK" w:cs="方正仿宋_GBK"/>
          <w:sz w:val="32"/>
          <w:szCs w:val="32"/>
          <w:lang w:eastAsia="zh-CN"/>
        </w:rPr>
      </w:pPr>
    </w:p>
    <w:p>
      <w:pPr>
        <w:pStyle w:val="2"/>
        <w:keepNext w:val="0"/>
        <w:keepLines w:val="0"/>
        <w:pageBreakBefore w:val="0"/>
        <w:kinsoku/>
        <w:overflowPunct/>
        <w:topLinePunct w:val="0"/>
        <w:autoSpaceDE/>
        <w:autoSpaceDN/>
        <w:bidi w:val="0"/>
        <w:adjustRightInd/>
        <w:spacing w:line="600" w:lineRule="exact"/>
        <w:rPr>
          <w:rFonts w:hint="eastAsia" w:ascii="方正仿宋_GBK" w:hAnsi="方正仿宋_GBK" w:eastAsia="方正仿宋_GBK" w:cs="方正仿宋_GBK"/>
          <w:sz w:val="32"/>
          <w:szCs w:val="32"/>
          <w:lang w:eastAsia="zh-CN"/>
        </w:rPr>
      </w:pPr>
    </w:p>
    <w:p>
      <w:pPr>
        <w:jc w:val="center"/>
      </w:pPr>
      <w:r>
        <w:rPr>
          <w:rFonts w:hint="eastAsia" w:ascii="方正小标宋_GBK" w:hAnsi="方正小标宋_GBK" w:eastAsia="方正小标宋_GBK" w:cs="方正小标宋_GBK"/>
          <w:color w:val="FF0000"/>
          <w:spacing w:val="-10"/>
          <w:w w:val="70"/>
          <w:sz w:val="100"/>
          <w:szCs w:val="100"/>
        </w:rPr>
        <w:t>重庆市</w:t>
      </w:r>
      <w:bookmarkStart w:id="0" w:name="dwmc"/>
      <w:r>
        <w:rPr>
          <w:rFonts w:hint="eastAsia" w:ascii="方正小标宋_GBK" w:hAnsi="方正小标宋_GBK" w:eastAsia="方正小标宋_GBK" w:cs="方正小标宋_GBK"/>
          <w:color w:val="FF0000"/>
          <w:spacing w:val="-10"/>
          <w:w w:val="70"/>
          <w:sz w:val="100"/>
          <w:szCs w:val="100"/>
          <w:lang w:eastAsia="zh-CN"/>
        </w:rPr>
        <w:t>荣昌区市场监督管理局</w:t>
      </w:r>
      <w:bookmarkEnd w:id="0"/>
    </w:p>
    <w:p>
      <w:pPr>
        <w:pStyle w:val="2"/>
        <w:spacing w:line="600" w:lineRule="exact"/>
        <w:rPr>
          <w:rFonts w:hint="eastAsia" w:ascii="方正仿宋_GBK" w:hAnsi="方正仿宋_GBK" w:eastAsia="方正仿宋_GBK" w:cs="方正仿宋_GBK"/>
          <w:sz w:val="32"/>
          <w:szCs w:val="32"/>
          <w:lang w:eastAsia="zh-CN"/>
        </w:rPr>
      </w:pPr>
      <w:bookmarkStart w:id="1" w:name="wenhao"/>
    </w:p>
    <w:p>
      <w:pPr>
        <w:pStyle w:val="2"/>
        <w:spacing w:line="600" w:lineRule="exact"/>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autoSpaceDE/>
        <w:autoSpaceDN/>
        <w:bidi w:val="0"/>
        <w:adjustRightInd/>
        <w:spacing w:line="60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荣昌市监</w:t>
      </w:r>
      <w:r>
        <w:rPr>
          <w:rFonts w:hint="eastAsia" w:ascii="方正仿宋_GBK" w:hAnsi="方正仿宋_GBK" w:eastAsia="方正仿宋_GBK" w:cs="方正仿宋_GBK"/>
          <w:sz w:val="32"/>
          <w:szCs w:val="32"/>
          <w:lang w:val="en-US" w:eastAsia="zh-CN"/>
        </w:rPr>
        <w:t>发</w:t>
      </w:r>
      <w:r>
        <w:rPr>
          <w:rFonts w:hint="eastAsia" w:ascii="方正仿宋_GBK" w:hAnsi="方正仿宋_GBK" w:eastAsia="方正仿宋_GBK" w:cs="方正仿宋_GBK"/>
          <w:sz w:val="32"/>
          <w:szCs w:val="32"/>
          <w:lang w:eastAsia="zh-CN"/>
        </w:rPr>
        <w:t>〔2020〕</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lang w:eastAsia="zh-CN"/>
        </w:rPr>
        <w:t>号</w:t>
      </w:r>
      <w:bookmarkEnd w:id="1"/>
    </w:p>
    <w:p>
      <w:pPr>
        <w:keepNext w:val="0"/>
        <w:keepLines w:val="0"/>
        <w:pageBreakBefore w:val="0"/>
        <w:kinsoku/>
        <w:overflowPunct/>
        <w:topLinePunct w:val="0"/>
        <w:autoSpaceDE/>
        <w:autoSpaceDN/>
        <w:bidi w:val="0"/>
        <w:adjustRightInd/>
        <w:spacing w:line="600" w:lineRule="exact"/>
        <w:jc w:val="center"/>
        <w:rPr>
          <w:rFonts w:hint="eastAsia" w:ascii="方正仿宋_GBK" w:hAnsi="方正仿宋_GBK" w:eastAsia="方正仿宋_GBK" w:cs="方正仿宋_GBK"/>
          <w:sz w:val="32"/>
          <w:szCs w:val="32"/>
          <w:lang w:val="en-US" w:eastAsia="zh-CN"/>
        </w:rPr>
      </w:pPr>
      <w:r>
        <mc:AlternateContent>
          <mc:Choice Requires="wps">
            <w:drawing>
              <wp:anchor distT="0" distB="0" distL="114300" distR="114300" simplePos="0" relativeHeight="251658240" behindDoc="0" locked="0" layoutInCell="1" allowOverlap="1">
                <wp:simplePos x="0" y="0"/>
                <wp:positionH relativeFrom="page">
                  <wp:posOffset>1005205</wp:posOffset>
                </wp:positionH>
                <wp:positionV relativeFrom="margin">
                  <wp:posOffset>3622040</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9.15pt;margin-top:285.2pt;height:0pt;width:442.2pt;mso-position-horizontal-relative:page;mso-position-vertical-relative:margin;z-index:251658240;mso-width-relative:page;mso-height-relative:page;" filled="f" stroked="t" coordsize="21600,21600" o:gfxdata="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TJZn/ZAAAADAEAAA8AAAAAAAAAAQAgAAAAIgAA&#10;AGRycy9kb3ducmV2LnhtbFBLAQIUABQAAAAIAIdO4kBlrulUzgEAAI4DAAAOAAAAAAAAAAEAIAAA&#10;ACgBAABkcnMvZTJvRG9jLnhtbFBLBQYAAAAABgAGAFkBAABoBQAAAAA=&#10;">
                <v:fill on="f" focussize="0,0"/>
                <v:stroke weight="1.75pt" color="#FF0000" joinstyle="round"/>
                <v:imagedata o:title=""/>
                <o:lock v:ext="edit" aspectratio="f"/>
              </v:line>
            </w:pict>
          </mc:Fallback>
        </mc:AlternateConten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overflowPunct/>
        <w:topLinePunct w:val="0"/>
        <w:autoSpaceDE/>
        <w:autoSpaceDN/>
        <w:bidi w:val="0"/>
        <w:adjustRightInd/>
        <w:spacing w:line="60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重庆市荣昌区市场监督管理局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关于印发《荣昌区2020年农村食品安全</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专项监督抽检计划》的通知</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各市场监管所、机关科室，纪检组，执法支队，消委会：</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cs="方正仿宋_GBK"/>
          <w:lang w:val="en-US" w:eastAsia="zh-CN"/>
        </w:rPr>
        <w:t>《荣昌区2020年农村食品安全专项监督抽检计划》已经区局第20次党组会审议通</w:t>
      </w:r>
      <w:r>
        <w:rPr>
          <w:rFonts w:hint="eastAsia" w:ascii="方正仿宋_GBK" w:cs="方正仿宋_GBK"/>
        </w:rPr>
        <w:t>过</w:t>
      </w:r>
      <w:r>
        <w:rPr>
          <w:rFonts w:hint="eastAsia" w:ascii="方正仿宋_GBK" w:hAnsi="方正仿宋_GBK" w:eastAsia="方正仿宋_GBK" w:cs="方正仿宋_GBK"/>
          <w:color w:val="000000"/>
          <w:sz w:val="32"/>
          <w:szCs w:val="32"/>
          <w:lang w:val="en-US" w:eastAsia="zh-CN"/>
        </w:rPr>
        <w:t>，现印发给你们，请遵照执行。</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cs="方正仿宋_GBK"/>
          <w:lang w:val="en-US" w:eastAsia="zh-CN"/>
        </w:rPr>
        <w:t>附件：1-1.荣昌区2020年农村食品安全专项监督抽检计划</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2-2.荣昌区2020年农村食品安全专项监督抽检计划</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1600" w:firstLineChars="5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任务分解表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eastAsia" w:ascii="方正仿宋_GBK" w:hAnsi="Calibri" w:eastAsia="仿宋_GB2312" w:cs="方正仿宋_GBK"/>
          <w:kern w:val="2"/>
          <w:sz w:val="32"/>
          <w:szCs w:val="24"/>
          <w:lang w:val="en-US" w:eastAsia="zh-CN" w:bidi="ar-SA"/>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Calibri" w:eastAsia="仿宋_GB2312" w:cs="方正仿宋_GBK"/>
          <w:kern w:val="2"/>
          <w:sz w:val="32"/>
          <w:szCs w:val="24"/>
          <w:lang w:val="en-US" w:eastAsia="zh-CN" w:bidi="ar-SA"/>
        </w:rPr>
        <w:t xml:space="preserve"> </w:t>
      </w:r>
      <w:r>
        <w:rPr>
          <w:rFonts w:hint="eastAsia" w:ascii="方正仿宋_GBK" w:eastAsia="仿宋_GB2312" w:cs="方正仿宋_GBK"/>
          <w:kern w:val="2"/>
          <w:sz w:val="32"/>
          <w:szCs w:val="24"/>
          <w:lang w:val="en-US" w:eastAsia="zh-CN" w:bidi="ar-SA"/>
        </w:rPr>
        <w:t xml:space="preserve">    </w:t>
      </w:r>
      <w:r>
        <w:rPr>
          <w:rFonts w:hint="eastAsia" w:ascii="方正仿宋_GBK" w:hAnsi="Calibri" w:eastAsia="仿宋_GB2312" w:cs="方正仿宋_GBK"/>
          <w:kern w:val="2"/>
          <w:sz w:val="32"/>
          <w:szCs w:val="24"/>
          <w:lang w:val="en-US" w:eastAsia="zh-CN" w:bidi="ar-SA"/>
        </w:rPr>
        <w:t>3</w:t>
      </w:r>
      <w:r>
        <w:rPr>
          <w:rFonts w:hint="eastAsia" w:ascii="方正仿宋_GBK" w:eastAsia="仿宋_GB2312" w:cs="方正仿宋_GBK"/>
          <w:kern w:val="2"/>
          <w:sz w:val="32"/>
          <w:szCs w:val="24"/>
          <w:lang w:val="en-US" w:eastAsia="zh-CN" w:bidi="ar-SA"/>
        </w:rPr>
        <w:t>-3</w:t>
      </w:r>
      <w:r>
        <w:rPr>
          <w:rFonts w:hint="eastAsia" w:ascii="方正仿宋_GBK" w:hAnsi="Calibri" w:eastAsia="仿宋_GB2312" w:cs="方正仿宋_GBK"/>
          <w:kern w:val="2"/>
          <w:sz w:val="32"/>
          <w:szCs w:val="24"/>
          <w:lang w:val="en-US" w:eastAsia="zh-CN" w:bidi="ar-SA"/>
        </w:rPr>
        <w:t>.荣昌区2020年农村食品安全</w:t>
      </w:r>
      <w:r>
        <w:rPr>
          <w:rFonts w:hint="eastAsia" w:ascii="方正仿宋_GBK" w:eastAsia="仿宋_GB2312" w:cs="方正仿宋_GBK"/>
          <w:kern w:val="2"/>
          <w:sz w:val="32"/>
          <w:szCs w:val="24"/>
          <w:lang w:val="en-US" w:eastAsia="zh-CN" w:bidi="ar-SA"/>
        </w:rPr>
        <w:t>专项</w:t>
      </w:r>
      <w:r>
        <w:rPr>
          <w:rFonts w:hint="eastAsia" w:ascii="方正仿宋_GBK" w:hAnsi="Calibri" w:eastAsia="仿宋_GB2312" w:cs="方正仿宋_GBK"/>
          <w:kern w:val="2"/>
          <w:sz w:val="32"/>
          <w:szCs w:val="24"/>
          <w:lang w:val="en-US" w:eastAsia="zh-CN" w:bidi="ar-SA"/>
        </w:rPr>
        <w:t>监督抽检品种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1600" w:firstLineChars="500"/>
        <w:jc w:val="left"/>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Calibri" w:eastAsia="仿宋_GB2312" w:cs="方正仿宋_GBK"/>
          <w:kern w:val="2"/>
          <w:sz w:val="32"/>
          <w:szCs w:val="24"/>
          <w:lang w:val="en-US" w:eastAsia="zh-CN" w:bidi="ar-SA"/>
        </w:rPr>
        <w:t>和项目表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重庆市荣昌区市场监督管理局</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2020年7月23日</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黑体_GBK" w:hAnsi="方正黑体_GBK" w:eastAsia="方正黑体_GBK" w:cs="方正黑体_GBK"/>
          <w:color w:val="000000"/>
          <w:sz w:val="32"/>
          <w:szCs w:val="32"/>
          <w:lang w:val="en-US" w:eastAsia="zh-CN"/>
        </w:rPr>
        <w:t>附件1-1</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val="en-US" w:eastAsia="zh-CN"/>
        </w:rPr>
        <w:t>荣昌区2020年农村</w:t>
      </w:r>
      <w:r>
        <w:rPr>
          <w:rFonts w:hint="eastAsia" w:ascii="方正小标宋_GBK" w:hAnsi="方正小标宋_GBK" w:eastAsia="方正小标宋_GBK" w:cs="方正小标宋_GBK"/>
          <w:color w:val="000000"/>
          <w:sz w:val="44"/>
          <w:szCs w:val="44"/>
        </w:rPr>
        <w:t>食品安全</w:t>
      </w:r>
      <w:r>
        <w:rPr>
          <w:rFonts w:hint="eastAsia" w:ascii="方正小标宋_GBK" w:hAnsi="方正小标宋_GBK" w:eastAsia="方正小标宋_GBK" w:cs="方正小标宋_GBK"/>
          <w:color w:val="000000"/>
          <w:sz w:val="44"/>
          <w:szCs w:val="44"/>
          <w:lang w:val="en-US" w:eastAsia="zh-CN"/>
        </w:rPr>
        <w:t>专项</w:t>
      </w:r>
      <w:r>
        <w:rPr>
          <w:rFonts w:hint="eastAsia" w:ascii="方正小标宋_GBK" w:hAnsi="方正小标宋_GBK" w:eastAsia="方正小标宋_GBK" w:cs="方正小标宋_GBK"/>
          <w:color w:val="000000"/>
          <w:sz w:val="44"/>
          <w:szCs w:val="44"/>
          <w:lang w:eastAsia="zh-CN"/>
        </w:rPr>
        <w:t>监督</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仿宋_GBK" w:eastAsia="方正仿宋_GBK"/>
          <w:color w:val="000000"/>
          <w:sz w:val="24"/>
          <w:szCs w:val="24"/>
        </w:rPr>
      </w:pPr>
      <w:r>
        <w:rPr>
          <w:rFonts w:hint="eastAsia" w:ascii="方正小标宋_GBK" w:hAnsi="方正小标宋_GBK" w:eastAsia="方正小标宋_GBK" w:cs="方正小标宋_GBK"/>
          <w:color w:val="000000"/>
          <w:sz w:val="44"/>
          <w:szCs w:val="44"/>
          <w:lang w:eastAsia="zh-CN"/>
        </w:rPr>
        <w:t>抽检</w:t>
      </w:r>
      <w:r>
        <w:rPr>
          <w:rFonts w:hint="eastAsia" w:ascii="方正小标宋_GBK" w:hAnsi="方正小标宋_GBK" w:eastAsia="方正小标宋_GBK" w:cs="方正小标宋_GBK"/>
          <w:color w:val="000000"/>
          <w:sz w:val="44"/>
          <w:szCs w:val="44"/>
          <w:lang w:val="en-US" w:eastAsia="zh-CN"/>
        </w:rPr>
        <w:t>计划</w:t>
      </w:r>
    </w:p>
    <w:p>
      <w:pPr>
        <w:pStyle w:val="3"/>
        <w:spacing w:line="600" w:lineRule="exact"/>
        <w:rPr>
          <w:rFonts w:hint="eastAsia" w:ascii="方正仿宋_GBK" w:eastAsia="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黑体_GBK" w:hAnsi="方正黑体_GBK" w:eastAsia="方正黑体_GBK" w:cs="方正黑体_GBK"/>
          <w:color w:val="00000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以落实“四个最严”为根本遵循，</w:t>
      </w:r>
      <w:r>
        <w:rPr>
          <w:rFonts w:hint="eastAsia" w:ascii="方正仿宋_GBK" w:hAnsi="方正仿宋_GBK" w:eastAsia="方正仿宋_GBK" w:cs="方正仿宋_GBK"/>
          <w:sz w:val="32"/>
          <w:szCs w:val="32"/>
        </w:rPr>
        <w:t>切实加强农村食品</w:t>
      </w:r>
      <w:r>
        <w:rPr>
          <w:rFonts w:hint="eastAsia" w:ascii="方正仿宋_GBK" w:hAnsi="方正仿宋_GBK" w:eastAsia="方正仿宋_GBK" w:cs="方正仿宋_GBK"/>
          <w:sz w:val="32"/>
          <w:szCs w:val="32"/>
          <w:lang w:eastAsia="zh-CN"/>
        </w:rPr>
        <w:t>安全</w:t>
      </w:r>
      <w:r>
        <w:rPr>
          <w:rFonts w:hint="eastAsia" w:ascii="方正仿宋_GBK" w:hAnsi="方正仿宋_GBK" w:eastAsia="方正仿宋_GBK" w:cs="方正仿宋_GBK"/>
          <w:sz w:val="32"/>
          <w:szCs w:val="32"/>
        </w:rPr>
        <w:t>监管</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着力构建农村食品安全长效监管机制，有效解决农村食品市场群众反映强烈的突出问题和风险隐患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全面提升农村食品安全水平</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00000"/>
          <w:sz w:val="32"/>
          <w:szCs w:val="32"/>
        </w:rPr>
        <w:t>确保人民</w:t>
      </w:r>
      <w:r>
        <w:rPr>
          <w:rFonts w:hint="eastAsia" w:ascii="方正仿宋_GBK" w:hAnsi="方正仿宋_GBK" w:eastAsia="方正仿宋_GBK" w:cs="方正仿宋_GBK"/>
          <w:color w:val="000000"/>
          <w:sz w:val="32"/>
          <w:szCs w:val="32"/>
          <w:lang w:eastAsia="zh-CN"/>
        </w:rPr>
        <w:t>群众</w:t>
      </w:r>
      <w:r>
        <w:rPr>
          <w:rFonts w:hint="eastAsia" w:ascii="方正仿宋_GBK" w:hAnsi="方正仿宋_GBK" w:eastAsia="方正仿宋_GBK" w:cs="方正仿宋_GBK"/>
          <w:color w:val="000000"/>
          <w:sz w:val="32"/>
          <w:szCs w:val="32"/>
        </w:rPr>
        <w:t>吃得放心。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黑体_GBK" w:hAnsi="方正黑体_GBK" w:eastAsia="方正黑体_GBK" w:cs="方正黑体_GBK"/>
          <w:color w:val="000000"/>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（一）坚持问题导向。</w:t>
      </w:r>
      <w:r>
        <w:rPr>
          <w:rFonts w:hint="eastAsia" w:ascii="方正仿宋_GBK" w:hAnsi="方正仿宋_GBK" w:eastAsia="方正仿宋_GBK" w:cs="方正仿宋_GBK"/>
          <w:color w:val="000000"/>
          <w:sz w:val="32"/>
          <w:szCs w:val="32"/>
        </w:rPr>
        <w:t>聚焦群众关切，突出农兽药残留、重金属、生物毒素污染等重点指标，紧盯风险程度高、合格率较低以及消费量大的重点品种，瞄准农贸市场、校园周边、城乡结合部等重点区域，加大抽检力度，提高问题发现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（二）坚持广泛覆盖。</w:t>
      </w:r>
      <w:r>
        <w:rPr>
          <w:rFonts w:hint="eastAsia" w:ascii="方正仿宋_GBK" w:hAnsi="方正仿宋_GBK" w:eastAsia="方正仿宋_GBK" w:cs="方正仿宋_GBK"/>
          <w:color w:val="000000"/>
          <w:sz w:val="32"/>
          <w:szCs w:val="32"/>
          <w:lang w:val="en-US" w:eastAsia="zh-CN"/>
        </w:rPr>
        <w:t>坚持</w:t>
      </w:r>
      <w:r>
        <w:rPr>
          <w:rFonts w:hint="eastAsia" w:ascii="方正仿宋_GBK" w:hAnsi="方正仿宋_GBK" w:eastAsia="方正仿宋_GBK" w:cs="方正仿宋_GBK"/>
          <w:color w:val="000000"/>
          <w:sz w:val="32"/>
          <w:szCs w:val="32"/>
        </w:rPr>
        <w:t>点面结合、统筹兼顾，实现监督抽检</w:t>
      </w:r>
      <w:r>
        <w:rPr>
          <w:rFonts w:hint="eastAsia" w:ascii="方正仿宋_GBK" w:hAnsi="方正仿宋_GBK" w:eastAsia="方正仿宋_GBK" w:cs="方正仿宋_GBK"/>
          <w:color w:val="000000"/>
          <w:sz w:val="32"/>
          <w:szCs w:val="32"/>
          <w:lang w:eastAsia="zh-CN"/>
        </w:rPr>
        <w:t>全</w:t>
      </w:r>
      <w:r>
        <w:rPr>
          <w:rFonts w:hint="eastAsia" w:ascii="方正仿宋_GBK" w:hAnsi="方正仿宋_GBK" w:eastAsia="方正仿宋_GBK" w:cs="方正仿宋_GBK"/>
          <w:color w:val="000000"/>
          <w:sz w:val="32"/>
          <w:szCs w:val="32"/>
        </w:rPr>
        <w:t>覆盖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覆盖在产获证食品生产企业，覆盖所有食品大类、品种和细类，覆盖生产、流通、餐饮、网络销售等不同业态。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（三）坚持专常互补。</w:t>
      </w:r>
      <w:r>
        <w:rPr>
          <w:rFonts w:hint="eastAsia" w:ascii="方正仿宋_GBK" w:hAnsi="方正仿宋_GBK" w:eastAsia="方正仿宋_GBK" w:cs="方正仿宋_GBK"/>
          <w:color w:val="000000"/>
          <w:sz w:val="32"/>
          <w:szCs w:val="32"/>
        </w:rPr>
        <w:t>在计划性抽检的基础上，根据日常检查、既往抽检、节令热销、舆情热点、突发性食品安全问题、地方特色食品等实际情况，有效组织开展专项抽检工作。实现计划性抽检与专项抽检有机结合，互为补充。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（四）坚持检管结合。</w:t>
      </w:r>
      <w:r>
        <w:rPr>
          <w:rFonts w:hint="eastAsia" w:ascii="方正仿宋_GBK" w:hAnsi="方正仿宋_GBK" w:eastAsia="方正仿宋_GBK" w:cs="方正仿宋_GBK"/>
          <w:color w:val="000000"/>
          <w:sz w:val="32"/>
          <w:szCs w:val="32"/>
        </w:rPr>
        <w:t>结合日常监管发现的问题，加大监管力量相对薄弱领域的抽检力度。加强抽检工作与日常监管信息的互联共享</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联管联动。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黑体_GBK" w:hAnsi="方正黑体_GBK" w:eastAsia="方正黑体_GBK" w:cs="方正黑体_GBK"/>
          <w:color w:val="000000"/>
          <w:sz w:val="32"/>
          <w:szCs w:val="32"/>
          <w:lang w:val="en-US" w:eastAsia="zh-CN"/>
        </w:rPr>
        <w:t xml:space="preserve"> 三、工作任务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sz w:val="32"/>
          <w:szCs w:val="32"/>
          <w:lang w:val="en-US" w:eastAsia="zh-CN"/>
        </w:rPr>
        <w:t>结合今年政协重点提案《关于加强农村食品安全监管建议》的办理要求，</w:t>
      </w:r>
      <w:r>
        <w:rPr>
          <w:rFonts w:hint="eastAsia" w:ascii="方正仿宋_GBK" w:hAnsi="方正仿宋_GBK" w:eastAsia="方正仿宋_GBK" w:cs="方正仿宋_GBK"/>
          <w:sz w:val="32"/>
          <w:szCs w:val="32"/>
        </w:rPr>
        <w:t>有效解决农村食品市场群众反映强烈的突出问题和风险隐患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在完成今年市级下达的1381批次监督抽检任务基础上，</w:t>
      </w:r>
      <w:r>
        <w:rPr>
          <w:rFonts w:hint="eastAsia" w:ascii="方正仿宋_GBK" w:hAnsi="方正仿宋_GBK" w:eastAsia="方正仿宋_GBK" w:cs="方正仿宋_GBK"/>
          <w:sz w:val="32"/>
          <w:szCs w:val="32"/>
        </w:rPr>
        <w:t>突出抓好对饮料、白酒、乳制品、食用油、矿泉水、儿童食品、地方特色食品等群众日常生活必需食品以及消费者</w:t>
      </w:r>
      <w:r>
        <w:rPr>
          <w:rFonts w:hint="eastAsia" w:ascii="方正仿宋_GBK" w:hAnsi="方正仿宋_GBK" w:cs="方正仿宋_GBK"/>
          <w:sz w:val="32"/>
          <w:szCs w:val="32"/>
          <w:lang w:eastAsia="zh-CN"/>
        </w:rPr>
        <w:t>投诉</w:t>
      </w:r>
      <w:r>
        <w:rPr>
          <w:rFonts w:hint="eastAsia" w:ascii="方正仿宋_GBK" w:hAnsi="方正仿宋_GBK" w:eastAsia="方正仿宋_GBK" w:cs="方正仿宋_GBK"/>
          <w:sz w:val="32"/>
          <w:szCs w:val="32"/>
        </w:rPr>
        <w:t>举报集中的食品</w:t>
      </w:r>
      <w:r>
        <w:rPr>
          <w:rFonts w:hint="eastAsia" w:ascii="方正仿宋_GBK" w:hAnsi="方正仿宋_GBK" w:eastAsia="方正仿宋_GBK" w:cs="方正仿宋_GBK"/>
          <w:sz w:val="32"/>
          <w:szCs w:val="32"/>
          <w:lang w:val="en-US" w:eastAsia="zh-CN"/>
        </w:rPr>
        <w:t>开展专项抽检。按照今年1：0.5的比例合理计划各镇街专项抽检任务，生产、流通、食用农产品、餐饮各环节合计530批次，均</w:t>
      </w:r>
      <w:r>
        <w:rPr>
          <w:rFonts w:hint="eastAsia" w:ascii="方正仿宋_GBK" w:hAnsi="方正仿宋_GBK" w:eastAsia="方正仿宋_GBK" w:cs="方正仿宋_GBK"/>
          <w:b/>
          <w:bCs/>
          <w:sz w:val="32"/>
          <w:szCs w:val="32"/>
          <w:lang w:val="en-US" w:eastAsia="zh-CN"/>
        </w:rPr>
        <w:t>由</w:t>
      </w:r>
      <w:r>
        <w:rPr>
          <w:rFonts w:hint="eastAsia" w:ascii="方正仿宋_GBK" w:hAnsi="方正仿宋_GBK" w:eastAsia="方正仿宋_GBK" w:cs="方正仿宋_GBK"/>
          <w:b/>
          <w:bCs/>
          <w:color w:val="000000"/>
          <w:sz w:val="32"/>
          <w:szCs w:val="32"/>
          <w:lang w:val="en-US" w:eastAsia="zh-CN"/>
        </w:rPr>
        <w:t>第三方检测服务机构完成，各科所配合</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sz w:val="32"/>
          <w:szCs w:val="32"/>
          <w:lang w:val="en-US" w:eastAsia="zh-CN"/>
        </w:rPr>
        <w:t>具体任务详见附件1。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bookmarkStart w:id="2" w:name="_Toc21792777"/>
      <w:r>
        <w:rPr>
          <w:rFonts w:hint="eastAsia" w:ascii="方正黑体_GBK" w:hAnsi="方正黑体_GBK" w:eastAsia="方正黑体_GBK" w:cs="方正黑体_GBK"/>
          <w:color w:val="000000"/>
          <w:sz w:val="32"/>
          <w:szCs w:val="32"/>
          <w:lang w:val="en-US" w:eastAsia="zh-CN"/>
        </w:rPr>
        <w:t>四、工作要求</w:t>
      </w:r>
      <w:bookmarkEnd w:id="2"/>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（一）规范抽检工作。</w:t>
      </w:r>
      <w:r>
        <w:rPr>
          <w:rFonts w:hint="eastAsia" w:ascii="方正仿宋_GBK" w:hAnsi="方正仿宋_GBK" w:eastAsia="方正仿宋_GBK" w:cs="方正仿宋_GBK"/>
          <w:color w:val="000000"/>
          <w:sz w:val="32"/>
          <w:szCs w:val="32"/>
          <w:lang w:val="en-US" w:eastAsia="zh-CN"/>
        </w:rPr>
        <w:t>以发现问题为导向，实现21个镇街全覆盖。具体抽检品种和检测项目原则上执行市局专项抽检指标，每个受检企业抽检样品数量不超过2批次，不抽临期食品。</w:t>
      </w:r>
      <w:r>
        <w:rPr>
          <w:rFonts w:hint="eastAsia" w:ascii="方正仿宋_GBK" w:hAnsi="方正仿宋_GBK" w:eastAsia="方正仿宋_GBK" w:cs="方正仿宋_GBK"/>
          <w:color w:val="000000"/>
          <w:sz w:val="32"/>
          <w:szCs w:val="32"/>
          <w:lang w:eastAsia="zh-CN"/>
        </w:rPr>
        <w:t>被抽样单位必须证照齐全（营业执照、食品经营许可证、小作坊备案登记证等）。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（二）依法核查处置。</w:t>
      </w:r>
      <w:r>
        <w:rPr>
          <w:rFonts w:hint="eastAsia" w:ascii="方正仿宋_GBK" w:hAnsi="方正仿宋_GBK" w:eastAsia="方正仿宋_GBK" w:cs="方正仿宋_GBK"/>
          <w:color w:val="000000"/>
          <w:sz w:val="32"/>
          <w:szCs w:val="32"/>
          <w:lang w:val="en-US" w:eastAsia="zh-CN"/>
        </w:rPr>
        <w:t>各科所收到不合格食品检测报告后，要根据《不合格（问题）食品核查处置工作流程》，及时送达食品生产经营者，启动对不合格食品及其生产经营者的核查处置工作。核查处置过程中发现涉嫌犯罪或涉及其他部门职责的，要及时移送移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（三）及时公布信息。</w:t>
      </w:r>
      <w:r>
        <w:rPr>
          <w:rFonts w:hint="eastAsia" w:ascii="方正仿宋_GBK" w:hAnsi="方正仿宋_GBK" w:eastAsia="方正仿宋_GBK" w:cs="方正仿宋_GBK"/>
          <w:color w:val="000000"/>
          <w:sz w:val="32"/>
          <w:szCs w:val="32"/>
          <w:lang w:val="en-US" w:eastAsia="zh-CN"/>
        </w:rPr>
        <w:t>严格按照专项抽检要求做好抽检信息公布，公布内容包括产品合格信息和不合格产品信息，各科所不得擅自对外发布抽检信息。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（四）强化督导检查。</w:t>
      </w:r>
      <w:r>
        <w:rPr>
          <w:rFonts w:hint="eastAsia" w:ascii="方正仿宋_GBK" w:hAnsi="方正仿宋_GBK" w:eastAsia="方正仿宋_GBK" w:cs="方正仿宋_GBK"/>
          <w:color w:val="000000"/>
          <w:sz w:val="32"/>
          <w:szCs w:val="32"/>
          <w:lang w:val="en-US" w:eastAsia="zh-CN"/>
        </w:rPr>
        <w:t>局纪检组要适时组织相关科室对第三方检测服务机构抽检情况开展督导检查。对工作进度、抽检质量等情况进行抽查，督导检查中发现的问题要及时通报第三方检测机构，并责令限期整改。</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（五）其他相关要求。</w:t>
      </w:r>
      <w:r>
        <w:rPr>
          <w:rFonts w:hint="eastAsia" w:ascii="方正仿宋_GBK" w:hAnsi="方正仿宋_GBK" w:eastAsia="方正仿宋_GBK" w:cs="方正仿宋_GBK"/>
          <w:color w:val="000000"/>
          <w:sz w:val="32"/>
          <w:szCs w:val="32"/>
          <w:lang w:val="en-US" w:eastAsia="zh-CN"/>
        </w:rPr>
        <w:t>在实施专项抽检工作过程中，各科所要切实强化与第三方检测服务机构的沟通协调，及时处置工作中遇到的困难和问题，确保专项抽检工作顺利完成。</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小标宋_GBK" w:eastAsia="方正小标宋_GBK"/>
          <w:sz w:val="40"/>
          <w:szCs w:val="40"/>
          <w:lang w:val="en-US" w:eastAsia="zh-CN"/>
        </w:rPr>
      </w:pPr>
      <w:r>
        <w:rPr>
          <w:rFonts w:hint="eastAsia" w:ascii="方正黑体_GBK" w:hAnsi="方正黑体_GBK" w:eastAsia="方正黑体_GBK" w:cs="方正黑体_GBK"/>
          <w:color w:val="000000"/>
          <w:sz w:val="32"/>
          <w:szCs w:val="32"/>
          <w:lang w:val="en-US" w:eastAsia="zh-CN"/>
        </w:rPr>
        <w:t xml:space="preserve">附件2-2   </w:t>
      </w:r>
      <w:r>
        <w:rPr>
          <w:rFonts w:hint="eastAsia" w:ascii="方正小标宋_GBK" w:eastAsia="方正小标宋_GBK"/>
          <w:sz w:val="40"/>
          <w:szCs w:val="40"/>
          <w:lang w:val="en-US" w:eastAsia="zh-CN"/>
        </w:rPr>
        <w:t>荣昌区2020年农村食品安全专项监督</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方正小标宋_GBK" w:eastAsia="方正小标宋_GBK"/>
          <w:sz w:val="40"/>
          <w:szCs w:val="40"/>
          <w:lang w:val="en-US" w:eastAsia="zh-CN"/>
        </w:rPr>
      </w:pPr>
      <w:r>
        <w:rPr>
          <w:rFonts w:hint="eastAsia" w:ascii="方正小标宋_GBK" w:eastAsia="方正小标宋_GBK"/>
          <w:sz w:val="40"/>
          <w:szCs w:val="40"/>
          <w:lang w:val="en-US" w:eastAsia="zh-CN"/>
        </w:rPr>
        <w:t>抽检计划任务分解表</w:t>
      </w:r>
    </w:p>
    <w:tbl>
      <w:tblPr>
        <w:tblStyle w:val="8"/>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466"/>
        <w:gridCol w:w="1384"/>
        <w:gridCol w:w="1508"/>
        <w:gridCol w:w="1452"/>
        <w:gridCol w:w="134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序号</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镇街</w:t>
            </w:r>
          </w:p>
        </w:tc>
        <w:tc>
          <w:tcPr>
            <w:tcW w:w="1384"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生产环节（生产企业及小作坊）</w:t>
            </w:r>
          </w:p>
        </w:tc>
        <w:tc>
          <w:tcPr>
            <w:tcW w:w="1508"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食用农产品（畜肉、淡水产品、水果、鲜蛋）</w:t>
            </w:r>
          </w:p>
        </w:tc>
        <w:tc>
          <w:tcPr>
            <w:tcW w:w="1452"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流通环节</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（定型包装食品）</w:t>
            </w:r>
          </w:p>
        </w:tc>
        <w:tc>
          <w:tcPr>
            <w:tcW w:w="1342"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餐饮环节</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（餐饮食品）</w:t>
            </w:r>
          </w:p>
        </w:tc>
        <w:tc>
          <w:tcPr>
            <w:tcW w:w="1107"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昌元街道</w:t>
            </w:r>
          </w:p>
        </w:tc>
        <w:tc>
          <w:tcPr>
            <w:tcW w:w="1384"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508"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1452"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1342"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1107"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昌州街道</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16</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12</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12</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广顺街道</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11</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安富街道</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13</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峰高街道</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双河街道</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9</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吴家镇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w:t>
            </w:r>
          </w:p>
        </w:tc>
        <w:tc>
          <w:tcPr>
            <w:tcW w:w="1107"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40" w:lineRule="exact"/>
              <w:ind w:left="0" w:leftChars="0" w:right="0" w:rightChars="0" w:firstLine="0" w:firstLineChars="0"/>
              <w:jc w:val="center"/>
              <w:textAlignment w:val="bottom"/>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荣隆镇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10</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仁义镇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盘龙镇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7</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河包镇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8</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6</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远觉镇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2</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龙集镇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2</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观胜镇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0</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铜鼓镇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清流镇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古昌镇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直升镇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1</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万灵镇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清升镇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2</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val="en-US" w:eastAsia="zh-CN"/>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w:t>
            </w:r>
          </w:p>
        </w:tc>
        <w:tc>
          <w:tcPr>
            <w:tcW w:w="1466"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清江镇</w:t>
            </w:r>
          </w:p>
        </w:tc>
        <w:tc>
          <w:tcPr>
            <w:tcW w:w="1384"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2</w:t>
            </w:r>
          </w:p>
        </w:tc>
        <w:tc>
          <w:tcPr>
            <w:tcW w:w="1508"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4</w:t>
            </w:r>
          </w:p>
        </w:tc>
        <w:tc>
          <w:tcPr>
            <w:tcW w:w="1452" w:type="dxa"/>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5</w:t>
            </w:r>
          </w:p>
        </w:tc>
        <w:tc>
          <w:tcPr>
            <w:tcW w:w="1342"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40" w:lineRule="exact"/>
              <w:ind w:left="0" w:leftChars="0" w:right="0" w:rightChars="0" w:firstLine="0" w:firstLineChars="0"/>
              <w:jc w:val="center"/>
              <w:textAlignment w:val="bottom"/>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107" w:type="dxa"/>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8868" w:type="dxa"/>
            <w:gridSpan w:val="7"/>
            <w:tcMar>
              <w:top w:w="12" w:type="dxa"/>
              <w:left w:w="12" w:type="dxa"/>
              <w:right w:w="12" w:type="dxa"/>
            </w:tcMar>
            <w:vAlign w:val="bottom"/>
          </w:tcPr>
          <w:p>
            <w:pPr>
              <w:keepNext w:val="0"/>
              <w:keepLines w:val="0"/>
              <w:widowControl/>
              <w:suppressLineNumbers w:val="0"/>
              <w:jc w:val="center"/>
              <w:textAlignment w:val="bottom"/>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4"/>
                <w:szCs w:val="24"/>
                <w:u w:val="none"/>
                <w:lang w:val="en-US" w:eastAsia="zh-CN" w:bidi="ar"/>
              </w:rPr>
              <w:t>合计：530批次</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firstLine="210" w:firstLineChars="100"/>
        <w:jc w:val="both"/>
        <w:textAlignment w:val="auto"/>
        <w:outlineLvl w:val="9"/>
        <w:rPr>
          <w:rFonts w:hint="eastAsia"/>
          <w:lang w:val="en-US" w:eastAsia="zh-CN"/>
        </w:rPr>
      </w:pPr>
      <w:r>
        <w:rPr>
          <w:rFonts w:hint="eastAsia" w:ascii="方正仿宋_GBK" w:hAnsi="方正仿宋_GBK" w:eastAsia="方正仿宋_GBK" w:cs="方正仿宋_GBK"/>
          <w:color w:val="000000"/>
          <w:sz w:val="21"/>
          <w:szCs w:val="21"/>
          <w:lang w:val="en-US" w:eastAsia="zh-CN"/>
        </w:rPr>
        <w:t>备注：本次专项抽</w:t>
      </w:r>
      <w:bookmarkStart w:id="3" w:name="_GoBack"/>
      <w:bookmarkEnd w:id="3"/>
      <w:r>
        <w:rPr>
          <w:rFonts w:hint="eastAsia" w:ascii="方正仿宋_GBK" w:hAnsi="方正仿宋_GBK" w:eastAsia="方正仿宋_GBK" w:cs="方正仿宋_GBK"/>
          <w:color w:val="000000"/>
          <w:sz w:val="21"/>
          <w:szCs w:val="21"/>
          <w:lang w:val="en-US" w:eastAsia="zh-CN"/>
        </w:rPr>
        <w:t>检由第三方检测机构具体实施，各科所配合。</w:t>
      </w:r>
      <w:r>
        <w:rPr>
          <w:sz w:val="32"/>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372745</wp:posOffset>
                </wp:positionV>
                <wp:extent cx="5507990" cy="635"/>
                <wp:effectExtent l="0" t="0" r="0" b="0"/>
                <wp:wrapNone/>
                <wp:docPr id="4" name="直接连接符 12"/>
                <wp:cNvGraphicFramePr/>
                <a:graphic xmlns:a="http://schemas.openxmlformats.org/drawingml/2006/main">
                  <a:graphicData uri="http://schemas.microsoft.com/office/word/2010/wordprocessingShape">
                    <wps:wsp>
                      <wps:cNvCnPr/>
                      <wps:spPr>
                        <a:xfrm>
                          <a:off x="0" y="0"/>
                          <a:ext cx="5507990" cy="635"/>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接连接符 12" o:spid="_x0000_s1026" o:spt="20" style="position:absolute;left:0pt;margin-left:5.1pt;margin-top:29.35pt;height:0.05pt;width:433.7pt;z-index:251659264;mso-width-relative:page;mso-height-relative:page;" filled="f" stroked="t" coordsize="21600,21600" o:gfxdata="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alfP1wAAAAgBAAAPAAAA&#10;AAAAAAEAIAAAACIAAABkcnMvZG93bnJldi54bWxQSwECFAAUAAAACACHTuJAc83Nud0BAACZAwAA&#10;DgAAAAAAAAABACAAAAAmAQAAZHJzL2Uyb0RvYy54bWxQSwUGAAAAAAYABgBZAQAAdQUAAAAA&#10;">
                <v:fill on="f" focussize="0,0"/>
                <v:stroke weight="0.35pt" color="#000000" joinstyle="round"/>
                <v:imagedata o:title=""/>
                <o:lock v:ext="edit" aspectratio="f"/>
              </v:line>
            </w:pict>
          </mc:Fallback>
        </mc:AlternateContent>
      </w:r>
    </w:p>
    <w:p>
      <w:pPr>
        <w:spacing w:line="600" w:lineRule="exact"/>
        <w:ind w:firstLine="320" w:firstLineChars="100"/>
      </w:pPr>
      <w:r>
        <w:rPr>
          <w:sz w:val="32"/>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357505</wp:posOffset>
                </wp:positionV>
                <wp:extent cx="5507990" cy="635"/>
                <wp:effectExtent l="0" t="0" r="0" b="0"/>
                <wp:wrapNone/>
                <wp:docPr id="3" name="直接连接符 13"/>
                <wp:cNvGraphicFramePr/>
                <a:graphic xmlns:a="http://schemas.openxmlformats.org/drawingml/2006/main">
                  <a:graphicData uri="http://schemas.microsoft.com/office/word/2010/wordprocessingShape">
                    <wps:wsp>
                      <wps:cNvCnPr/>
                      <wps:spPr>
                        <a:xfrm>
                          <a:off x="0" y="0"/>
                          <a:ext cx="5507990" cy="635"/>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接连接符 13" o:spid="_x0000_s1026" o:spt="20" style="position:absolute;left:0pt;margin-left:5.1pt;margin-top:28.15pt;height:0.05pt;width:433.7pt;z-index:251660288;mso-width-relative:page;mso-height-relative:page;" filled="f" stroked="t" coordsize="21600,21600" o:gfxdata="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6UmbYAAAACAEAAA8A&#10;AAAAAAAAAQAgAAAAIgAAAGRycy9kb3ducmV2LnhtbFBLAQIUABQAAAAIAIdO4kAQ9g2m3gEAAJkD&#10;AAAOAAAAAAAAAAEAIAAAACcBAABkcnMvZTJvRG9jLnhtbFBLBQYAAAAABgAGAFkBAAB3BQAAAAA=&#10;">
                <v:fill on="f" focussize="0,0"/>
                <v:stroke weight="0.35pt" color="#000000" joinstyle="round"/>
                <v:imagedata o:title=""/>
                <o:lock v:ext="edit" aspectratio="f"/>
              </v:line>
            </w:pict>
          </mc:Fallback>
        </mc:AlternateContent>
      </w:r>
      <w:r>
        <w:rPr>
          <w:rFonts w:hint="eastAsia" w:ascii="方正仿宋_GBK" w:hAnsi="方正仿宋_GBK" w:eastAsia="方正仿宋_GBK" w:cs="方正仿宋_GBK"/>
          <w:sz w:val="28"/>
          <w:szCs w:val="28"/>
          <w:lang w:val="en-US" w:eastAsia="zh-CN"/>
        </w:rPr>
        <w:t xml:space="preserve">重庆市荣昌区市场监督管理局             2020年7月23日印发  </w:t>
      </w:r>
    </w:p>
    <w:sectPr>
      <w:headerReference r:id="rId3" w:type="default"/>
      <w:footerReference r:id="rId4"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7"/>
        <w:rFonts w:ascii="宋体" w:cs="Times New Roman"/>
        <w:sz w:val="28"/>
        <w:szCs w:val="2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4"/>
                          </w:pPr>
                          <w:r>
                            <w:rPr>
                              <w:rStyle w:val="7"/>
                              <w:rFonts w:ascii="宋体" w:hAnsi="宋体" w:cs="宋体"/>
                              <w:sz w:val="28"/>
                              <w:szCs w:val="28"/>
                            </w:rPr>
                            <w:t xml:space="preserve">— </w:t>
                          </w: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1</w:t>
                          </w:r>
                          <w:r>
                            <w:rPr>
                              <w:rFonts w:ascii="宋体" w:hAnsi="宋体" w:cs="宋体"/>
                              <w:sz w:val="28"/>
                              <w:szCs w:val="28"/>
                            </w:rPr>
                            <w:fldChar w:fldCharType="end"/>
                          </w:r>
                          <w:r>
                            <w:rPr>
                              <w:rStyle w:val="7"/>
                              <w:rFonts w:ascii="宋体" w:hAnsi="宋体" w:cs="宋体"/>
                              <w:sz w:val="28"/>
                              <w:szCs w:val="28"/>
                            </w:rPr>
                            <w:t xml:space="preserve"> —</w:t>
                          </w:r>
                        </w:p>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GNZuabEB&#10;AABJAwAADgAAAAAAAAABACAAAAAfAQAAZHJzL2Uyb0RvYy54bWxQSwUGAAAAAAYABgBZAQAAQgUA&#10;AAAA&#10;">
              <v:fill on="f" focussize="0,0"/>
              <v:stroke on="f"/>
              <v:imagedata o:title=""/>
              <o:lock v:ext="edit" aspectratio="f"/>
              <v:textbox inset="0mm,0mm,0mm,0mm" style="mso-fit-shape-to-text:t;">
                <w:txbxContent>
                  <w:p>
                    <w:pPr>
                      <w:pStyle w:val="4"/>
                    </w:pPr>
                    <w:r>
                      <w:rPr>
                        <w:rStyle w:val="7"/>
                        <w:rFonts w:ascii="宋体" w:hAnsi="宋体" w:cs="宋体"/>
                        <w:sz w:val="28"/>
                        <w:szCs w:val="28"/>
                      </w:rPr>
                      <w:t xml:space="preserve">— </w:t>
                    </w: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1</w:t>
                    </w:r>
                    <w:r>
                      <w:rPr>
                        <w:rFonts w:ascii="宋体" w:hAnsi="宋体" w:cs="宋体"/>
                        <w:sz w:val="28"/>
                        <w:szCs w:val="28"/>
                      </w:rPr>
                      <w:fldChar w:fldCharType="end"/>
                    </w:r>
                    <w:r>
                      <w:rPr>
                        <w:rStyle w:val="7"/>
                        <w:rFonts w:ascii="宋体" w:hAnsi="宋体" w:cs="宋体"/>
                        <w:sz w:val="28"/>
                        <w:szCs w:val="28"/>
                      </w:rPr>
                      <w:t xml:space="preserve"> —</w:t>
                    </w:r>
                  </w:p>
                </w:txbxContent>
              </v:textbox>
            </v:rect>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51B89"/>
    <w:rsid w:val="27551B89"/>
    <w:rsid w:val="7A34111F"/>
    <w:rsid w:val="7D1307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rPr>
      <w:rFonts w:eastAsia="宋体"/>
      <w:sz w:val="21"/>
      <w:szCs w:val="24"/>
    </w:rPr>
  </w:style>
  <w:style w:type="paragraph" w:styleId="3">
    <w:name w:val="Body Text"/>
    <w:basedOn w:val="1"/>
    <w:qFormat/>
    <w:uiPriority w:val="0"/>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2020-09-03T07:05:00Z</dcterms:created>
  <dc:creator>孟俊平</dc:creator>
  <cp:lastModifiedBy>孟俊平</cp:lastModifiedBy>
  <cp:lastPrinted>2020-09-03T07:28:00Z</cp:lastPrinted>
  <dcterms:modified xsi:type="dcterms:W3CDTF">2020-09-07T02:42:06Z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