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附件：</w:t>
      </w:r>
    </w:p>
    <w:p>
      <w:pPr>
        <w:spacing w:line="0" w:lineRule="atLeast"/>
        <w:rPr>
          <w:rFonts w:hint="eastAsia" w:eastAsia="方正仿宋_GBK"/>
          <w:szCs w:val="32"/>
          <w:lang w:val="en-US" w:eastAsia="zh-CN"/>
        </w:rPr>
      </w:pPr>
    </w:p>
    <w:tbl>
      <w:tblPr>
        <w:tblStyle w:val="4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276"/>
        <w:gridCol w:w="2551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注册号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经营者姓名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拟强制注销原因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登记机关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500226600367520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曹程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500226600391827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叶辉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500226600109888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黄维杰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500226600402756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唐亮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500226608907036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魏兴友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500226609009602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方晓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500226600410756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蔡开芬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500226605697775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王尹军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500226600335805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柳兵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500226600273444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廖丽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500226600316962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郑平英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2"/>
                <w:szCs w:val="22"/>
              </w:rPr>
            </w:pPr>
            <w:r>
              <w:rPr>
                <w:rFonts w:ascii="ˎ̥" w:hAnsi="ˎ̥" w:eastAsia="宋体" w:cs="宋体"/>
                <w:kern w:val="0"/>
                <w:sz w:val="22"/>
                <w:szCs w:val="22"/>
              </w:rPr>
              <w:t>500226600264974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马前祥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连续两年未年报且失联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荣昌区</w:t>
            </w:r>
            <w:r>
              <w:rPr>
                <w:sz w:val="22"/>
                <w:szCs w:val="22"/>
              </w:rPr>
              <w:t>市场监管局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2020年10月20日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23"/>
    <w:rsid w:val="00743D23"/>
    <w:rsid w:val="00A6762C"/>
    <w:rsid w:val="00B864B5"/>
    <w:rsid w:val="00BE4393"/>
    <w:rsid w:val="18581CD9"/>
    <w:rsid w:val="32D0701A"/>
    <w:rsid w:val="7C5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14</TotalTime>
  <ScaleCrop>false</ScaleCrop>
  <LinksUpToDate>false</LinksUpToDate>
  <CharactersWithSpaces>794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2020-10-20T02:12:00Z</dcterms:created>
  <dc:creator>汪友林</dc:creator>
  <cp:lastModifiedBy>三少</cp:lastModifiedBy>
  <dcterms:modified xsi:type="dcterms:W3CDTF">2020-10-20T08:10:50Z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