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eastAsia="方正黑体_GBK"/>
          <w:color w:val="000000"/>
          <w:szCs w:val="32"/>
        </w:rPr>
      </w:pPr>
      <w:r>
        <w:rPr>
          <w:rFonts w:hint="eastAsia" w:eastAsia="方正黑体_GBK"/>
          <w:color w:val="000000"/>
          <w:szCs w:val="32"/>
        </w:rPr>
        <w:t>附件</w:t>
      </w:r>
      <w:r>
        <w:rPr>
          <w:rFonts w:eastAsia="方正黑体_GBK"/>
          <w:color w:val="000000"/>
          <w:szCs w:val="32"/>
        </w:rPr>
        <w:t>12</w:t>
      </w:r>
    </w:p>
    <w:p>
      <w:pPr>
        <w:spacing w:line="720" w:lineRule="exact"/>
        <w:jc w:val="center"/>
        <w:rPr>
          <w:rFonts w:eastAsia="方正小标宋_GBK"/>
          <w:color w:val="000000"/>
          <w:sz w:val="44"/>
          <w:szCs w:val="44"/>
        </w:rPr>
      </w:pPr>
      <w:bookmarkStart w:id="0" w:name="_GoBack"/>
      <w:r>
        <w:rPr>
          <w:rFonts w:hint="eastAsia" w:eastAsia="方正小标宋_GBK"/>
          <w:color w:val="000000"/>
          <w:sz w:val="44"/>
          <w:szCs w:val="44"/>
        </w:rPr>
        <w:t>2023 年全国食品安全抽检任务清单</w:t>
      </w:r>
      <w:bookmarkEnd w:id="0"/>
      <w:r>
        <w:rPr>
          <w:rFonts w:hint="eastAsia" w:eastAsia="方正小标宋_GBK"/>
          <w:color w:val="000000"/>
          <w:sz w:val="44"/>
          <w:szCs w:val="44"/>
        </w:rPr>
        <w:t>(总局本级)</w:t>
      </w:r>
    </w:p>
    <w:tbl>
      <w:tblPr>
        <w:tblStyle w:val="4"/>
        <w:tblW w:w="1332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00"/>
        <w:gridCol w:w="2747"/>
        <w:gridCol w:w="1533"/>
        <w:gridCol w:w="3133"/>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2" w:type="dxa"/>
            <w:vAlign w:val="center"/>
          </w:tcPr>
          <w:p>
            <w:pPr>
              <w:widowControl/>
              <w:spacing w:line="240" w:lineRule="exact"/>
              <w:jc w:val="left"/>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任务类型</w:t>
            </w:r>
          </w:p>
        </w:tc>
        <w:tc>
          <w:tcPr>
            <w:tcW w:w="200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抽检品种</w:t>
            </w:r>
          </w:p>
        </w:tc>
        <w:tc>
          <w:tcPr>
            <w:tcW w:w="2747"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抽检对象</w:t>
            </w:r>
          </w:p>
        </w:tc>
        <w:tc>
          <w:tcPr>
            <w:tcW w:w="1533"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抽检时间及频次</w:t>
            </w:r>
          </w:p>
        </w:tc>
        <w:tc>
          <w:tcPr>
            <w:tcW w:w="3133"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抽样区域、环节及场所</w:t>
            </w:r>
          </w:p>
        </w:tc>
        <w:tc>
          <w:tcPr>
            <w:tcW w:w="3209"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0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监督抽检</w:t>
            </w:r>
          </w:p>
        </w:tc>
        <w:tc>
          <w:tcPr>
            <w:tcW w:w="200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婴幼儿配方食品、特殊医学用途配方食品、特殊膳食食品、保健食品等重点品种。</w:t>
            </w:r>
          </w:p>
        </w:tc>
        <w:tc>
          <w:tcPr>
            <w:tcW w:w="2747"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1.部分市场占有率及份额较大的食品生产企业。</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2.全国范围内重点区域市场销售的食品、食用农产品、进口食品。</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3.通过大型互联网购物平台销售的食品、进口食品。</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4.已获配方注册且在境内销售的婴幼儿配方食品。</w:t>
            </w:r>
          </w:p>
        </w:tc>
        <w:tc>
          <w:tcPr>
            <w:tcW w:w="1533"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以专项抽检为重点。季节性生产销售的食品、食用农产品在相应季节增加抽样量。</w:t>
            </w:r>
          </w:p>
        </w:tc>
        <w:tc>
          <w:tcPr>
            <w:tcW w:w="3133"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全国范围内大型连锁商场超市、大型农产品批发市场，部分专卖店、直营店、经营企业集中配送点，学校及周边等重点区域等。</w:t>
            </w:r>
          </w:p>
        </w:tc>
        <w:tc>
          <w:tcPr>
            <w:tcW w:w="3209"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1.在全国范围内组织开展节令性食品、农村销售食品、校园食品、食品和保健食品非法添加、延伸性监测、不合格跟踪等专项抽检。</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2.加强全国食品安全抽检工作的统筹指导和监督考核;利用总局风险会商技术优势，查找系统性、区域性食品安全风险隐患。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70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风险监测</w:t>
            </w:r>
          </w:p>
        </w:tc>
        <w:tc>
          <w:tcPr>
            <w:tcW w:w="200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婴幼儿配方食品、保健食品等重点品种，以及新兴或风险较高的食品品种。</w:t>
            </w:r>
          </w:p>
        </w:tc>
        <w:tc>
          <w:tcPr>
            <w:tcW w:w="2747" w:type="dxa"/>
            <w:vMerge w:val="continue"/>
            <w:vAlign w:val="center"/>
          </w:tcPr>
          <w:p>
            <w:pPr>
              <w:spacing w:line="240" w:lineRule="exact"/>
              <w:jc w:val="left"/>
              <w:rPr>
                <w:rFonts w:ascii="方正仿宋_GBK" w:hAnsi="方正仿宋_GBK" w:cs="方正仿宋_GBK"/>
                <w:color w:val="000000"/>
                <w:sz w:val="22"/>
              </w:rPr>
            </w:pPr>
          </w:p>
        </w:tc>
        <w:tc>
          <w:tcPr>
            <w:tcW w:w="1533" w:type="dxa"/>
            <w:vMerge w:val="continue"/>
            <w:vAlign w:val="center"/>
          </w:tcPr>
          <w:p>
            <w:pPr>
              <w:spacing w:line="240" w:lineRule="exact"/>
              <w:jc w:val="left"/>
              <w:rPr>
                <w:rFonts w:ascii="方正仿宋_GBK" w:hAnsi="方正仿宋_GBK" w:cs="方正仿宋_GBK"/>
                <w:color w:val="000000"/>
                <w:sz w:val="22"/>
              </w:rPr>
            </w:pPr>
          </w:p>
        </w:tc>
        <w:tc>
          <w:tcPr>
            <w:tcW w:w="3133" w:type="dxa"/>
            <w:vMerge w:val="continue"/>
            <w:vAlign w:val="center"/>
          </w:tcPr>
          <w:p>
            <w:pPr>
              <w:spacing w:line="240" w:lineRule="exact"/>
              <w:jc w:val="left"/>
              <w:rPr>
                <w:rFonts w:ascii="方正仿宋_GBK" w:hAnsi="方正仿宋_GBK" w:cs="方正仿宋_GBK"/>
                <w:color w:val="000000"/>
                <w:sz w:val="22"/>
              </w:rPr>
            </w:pPr>
          </w:p>
        </w:tc>
        <w:tc>
          <w:tcPr>
            <w:tcW w:w="3209" w:type="dxa"/>
            <w:vMerge w:val="continue"/>
            <w:vAlign w:val="center"/>
          </w:tcPr>
          <w:p>
            <w:pPr>
              <w:spacing w:line="240" w:lineRule="exact"/>
              <w:jc w:val="left"/>
              <w:rPr>
                <w:rFonts w:ascii="方正仿宋_GBK" w:hAnsi="方正仿宋_GBK" w:cs="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8" w:hRule="atLeast"/>
        </w:trPr>
        <w:tc>
          <w:tcPr>
            <w:tcW w:w="70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评价性抽检</w:t>
            </w:r>
          </w:p>
        </w:tc>
        <w:tc>
          <w:tcPr>
            <w:tcW w:w="200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粮食加工品，肉制品，乳制品，豆制品，食用农产品，食用油、油脂及其制品，婴幼儿配方食品。</w:t>
            </w:r>
          </w:p>
        </w:tc>
        <w:tc>
          <w:tcPr>
            <w:tcW w:w="2747"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全国 31 个省(区、市)83 个大中城市及部分食品安全示范城市创建城市。</w:t>
            </w:r>
          </w:p>
        </w:tc>
        <w:tc>
          <w:tcPr>
            <w:tcW w:w="153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w:t>
            </w:r>
          </w:p>
        </w:tc>
        <w:tc>
          <w:tcPr>
            <w:tcW w:w="3133"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1.被抽检城市应覆盖市区、城区、乡村等不同区域，乡镇和农村地区抽检比例不低于30%。</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2.抽样场所主要在超市、商场、批发市场等销售场所。食用农产品应在“哨点”名单中的批发市场开展抽检。抽取预包装食品时，抽检批次数原则上不低于总批次数的70%。</w:t>
            </w:r>
          </w:p>
        </w:tc>
        <w:tc>
          <w:tcPr>
            <w:tcW w:w="3209"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1.副省级以上城市的大、中、小型超市抽样比例为1:2:1，在其他城市抽样比例为 1:1:1。</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2.副省级以上城市的中、小型商场抽样比例 2:1，在其他城市抽样比例为 1:1。</w:t>
            </w:r>
          </w:p>
        </w:tc>
      </w:tr>
    </w:tbl>
    <w:p>
      <w:pPr>
        <w:spacing w:line="720" w:lineRule="exact"/>
        <w:jc w:val="center"/>
        <w:rPr>
          <w:rFonts w:hint="eastAsia" w:eastAsia="方正小标宋_GBK"/>
          <w:color w:val="000000"/>
          <w:sz w:val="44"/>
          <w:szCs w:val="44"/>
        </w:rPr>
      </w:pPr>
    </w:p>
    <w:p>
      <w:pPr>
        <w:spacing w:line="720" w:lineRule="exact"/>
        <w:jc w:val="center"/>
        <w:rPr>
          <w:rFonts w:eastAsia="方正小标宋_GBK"/>
          <w:color w:val="000000"/>
          <w:sz w:val="44"/>
          <w:szCs w:val="44"/>
        </w:rPr>
      </w:pPr>
      <w:r>
        <w:rPr>
          <w:rFonts w:hint="eastAsia" w:eastAsia="方正小标宋_GBK"/>
          <w:color w:val="000000"/>
          <w:sz w:val="44"/>
          <w:szCs w:val="44"/>
        </w:rPr>
        <w:t>2023 年全国食品安全抽检任务清单(中央转移支付地方)</w:t>
      </w:r>
    </w:p>
    <w:tbl>
      <w:tblPr>
        <w:tblStyle w:val="4"/>
        <w:tblW w:w="142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013"/>
        <w:gridCol w:w="3600"/>
        <w:gridCol w:w="2053"/>
        <w:gridCol w:w="1960"/>
        <w:gridCol w:w="3000"/>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Align w:val="center"/>
          </w:tcPr>
          <w:p>
            <w:pPr>
              <w:widowControl/>
              <w:spacing w:line="240" w:lineRule="exact"/>
              <w:jc w:val="left"/>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任务类型</w:t>
            </w:r>
          </w:p>
        </w:tc>
        <w:tc>
          <w:tcPr>
            <w:tcW w:w="1013" w:type="dxa"/>
            <w:vAlign w:val="center"/>
          </w:tcPr>
          <w:p>
            <w:pPr>
              <w:widowControl/>
              <w:spacing w:line="24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任务量</w:t>
            </w:r>
          </w:p>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（批次）</w:t>
            </w:r>
          </w:p>
        </w:tc>
        <w:tc>
          <w:tcPr>
            <w:tcW w:w="360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抽检品种及项目</w:t>
            </w:r>
          </w:p>
        </w:tc>
        <w:tc>
          <w:tcPr>
            <w:tcW w:w="2053"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抽检对象</w:t>
            </w:r>
          </w:p>
        </w:tc>
        <w:tc>
          <w:tcPr>
            <w:tcW w:w="196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抽检时间及频次</w:t>
            </w:r>
          </w:p>
        </w:tc>
        <w:tc>
          <w:tcPr>
            <w:tcW w:w="300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抽样区域、环节及场所</w:t>
            </w:r>
          </w:p>
        </w:tc>
        <w:tc>
          <w:tcPr>
            <w:tcW w:w="1849"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8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监督抽检</w:t>
            </w:r>
          </w:p>
        </w:tc>
        <w:tc>
          <w:tcPr>
            <w:tcW w:w="101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5583</w:t>
            </w:r>
          </w:p>
        </w:tc>
        <w:tc>
          <w:tcPr>
            <w:tcW w:w="360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1.抽检品种:当地获证在产食品生产企业生产的食品，以及大型餐饮企业生产销售的餐饮食品等。</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2.检验项目:按照总局统一要求执行。</w:t>
            </w:r>
          </w:p>
        </w:tc>
        <w:tc>
          <w:tcPr>
            <w:tcW w:w="2053"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本行政区域内获得生产许可证的在产食品生产企业，重点对省内大型餐饮单位、食品经营场所和食用农产品批发市场，以及网络销售食品开展抽检。</w:t>
            </w:r>
          </w:p>
        </w:tc>
        <w:tc>
          <w:tcPr>
            <w:tcW w:w="1960"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1.全年均衡开展。季节性生产销售的食品或存在季节性质量安全风险的食品，在相应季节增加抽样量。</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2.在节前开展节令性食品专项抽检。</w:t>
            </w:r>
          </w:p>
        </w:tc>
        <w:tc>
          <w:tcPr>
            <w:tcW w:w="3000"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与省级局任务统筹协调、合理划分。抽样主要在大中型批发市场、农贸市场、商场超市、学校及周边。餐饮环节重点抽检学校、幼儿园(含托管托教机构)食堂，以及中央厨房、集体用餐配送单位、旅游景区等大型餐饮服务单位等。</w:t>
            </w:r>
          </w:p>
        </w:tc>
        <w:tc>
          <w:tcPr>
            <w:tcW w:w="1849"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1.应覆盖本行政区域内所有获得生产许可证的在产食品生产企业生产的食品。</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2.按照总局要求开展全国性专项抽检。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风险监测</w:t>
            </w:r>
          </w:p>
        </w:tc>
        <w:tc>
          <w:tcPr>
            <w:tcW w:w="101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956</w:t>
            </w:r>
          </w:p>
        </w:tc>
        <w:tc>
          <w:tcPr>
            <w:tcW w:w="360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1.抽检品种:主要监测当地获证在产食品生产企业生产的风险较高的食品品种。</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2.监测项目:按照总局统一要求执行。</w:t>
            </w:r>
          </w:p>
        </w:tc>
        <w:tc>
          <w:tcPr>
            <w:tcW w:w="2053" w:type="dxa"/>
            <w:vMerge w:val="continue"/>
            <w:vAlign w:val="center"/>
          </w:tcPr>
          <w:p>
            <w:pPr>
              <w:spacing w:line="240" w:lineRule="exact"/>
              <w:jc w:val="left"/>
              <w:rPr>
                <w:rFonts w:ascii="方正仿宋_GBK" w:hAnsi="方正仿宋_GBK" w:cs="方正仿宋_GBK"/>
                <w:color w:val="000000"/>
                <w:sz w:val="22"/>
              </w:rPr>
            </w:pPr>
          </w:p>
        </w:tc>
        <w:tc>
          <w:tcPr>
            <w:tcW w:w="1960" w:type="dxa"/>
            <w:vMerge w:val="continue"/>
            <w:vAlign w:val="center"/>
          </w:tcPr>
          <w:p>
            <w:pPr>
              <w:spacing w:line="240" w:lineRule="exact"/>
              <w:jc w:val="left"/>
              <w:rPr>
                <w:rFonts w:ascii="方正仿宋_GBK" w:hAnsi="方正仿宋_GBK" w:cs="方正仿宋_GBK"/>
                <w:color w:val="000000"/>
                <w:sz w:val="22"/>
              </w:rPr>
            </w:pPr>
          </w:p>
        </w:tc>
        <w:tc>
          <w:tcPr>
            <w:tcW w:w="3000" w:type="dxa"/>
            <w:vMerge w:val="continue"/>
            <w:vAlign w:val="center"/>
          </w:tcPr>
          <w:p>
            <w:pPr>
              <w:spacing w:line="240" w:lineRule="exact"/>
              <w:jc w:val="left"/>
              <w:rPr>
                <w:rFonts w:ascii="方正仿宋_GBK" w:hAnsi="方正仿宋_GBK" w:cs="方正仿宋_GBK"/>
                <w:color w:val="000000"/>
                <w:sz w:val="22"/>
              </w:rPr>
            </w:pPr>
          </w:p>
        </w:tc>
        <w:tc>
          <w:tcPr>
            <w:tcW w:w="1849" w:type="dxa"/>
            <w:vMerge w:val="continue"/>
            <w:vAlign w:val="center"/>
          </w:tcPr>
          <w:p>
            <w:pPr>
              <w:spacing w:line="240" w:lineRule="exact"/>
              <w:jc w:val="left"/>
              <w:rPr>
                <w:rFonts w:ascii="方正仿宋_GBK" w:hAnsi="方正仿宋_GBK" w:cs="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78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评价性抽检</w:t>
            </w:r>
          </w:p>
        </w:tc>
        <w:tc>
          <w:tcPr>
            <w:tcW w:w="101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1645</w:t>
            </w:r>
          </w:p>
        </w:tc>
        <w:tc>
          <w:tcPr>
            <w:tcW w:w="360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1.抽检品种:公众日常消费量大的粮食加工品、肉制品、乳制品、豆制品、食用农产品和食用油、油脂及其制品。</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2.检验项目:按照总局统一要求执行。</w:t>
            </w:r>
          </w:p>
        </w:tc>
        <w:tc>
          <w:tcPr>
            <w:tcW w:w="205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年度食品安全示范城市创建城市、人口数量较大的城市。</w:t>
            </w:r>
          </w:p>
        </w:tc>
        <w:tc>
          <w:tcPr>
            <w:tcW w:w="196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w:t>
            </w:r>
          </w:p>
        </w:tc>
        <w:tc>
          <w:tcPr>
            <w:tcW w:w="300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1.被抽检城市应覆盖市区、城区、乡村及城乡结合部等不同区域，乡镇和农村地区抽检比例不低于30%。</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2.食用农产品应在“哨点”名单中的批发市场开展抽检。</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3.以抽检食用农产品为主，食用农产品抽检批次不低于总样品量的60%。抽取预包装食品时，应覆盖被抽样市或县(区)的政府所在地，以及当地人口较为集中的城镇。</w:t>
            </w:r>
          </w:p>
        </w:tc>
        <w:tc>
          <w:tcPr>
            <w:tcW w:w="1849"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1.副省级以上城市的大、中、小型超市抽样比例为 1:2:1，在其他城市抽样比例为 1:1:1。</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2.副省级以上城市的中、小型商场抽样比例 2:1，在其他城市抽样比例为 1:1。</w:t>
            </w:r>
          </w:p>
        </w:tc>
      </w:tr>
    </w:tbl>
    <w:p>
      <w:pPr>
        <w:spacing w:line="720" w:lineRule="exact"/>
        <w:jc w:val="center"/>
        <w:rPr>
          <w:rFonts w:hint="eastAsia" w:eastAsia="方正小标宋_GBK"/>
          <w:color w:val="000000"/>
          <w:sz w:val="44"/>
          <w:szCs w:val="44"/>
        </w:rPr>
      </w:pPr>
    </w:p>
    <w:p>
      <w:pPr>
        <w:spacing w:line="720" w:lineRule="exact"/>
        <w:jc w:val="center"/>
        <w:rPr>
          <w:rFonts w:eastAsia="方正小标宋_GBK"/>
          <w:color w:val="000000"/>
          <w:sz w:val="44"/>
          <w:szCs w:val="44"/>
        </w:rPr>
      </w:pPr>
      <w:r>
        <w:rPr>
          <w:rFonts w:hint="eastAsia" w:eastAsia="方正小标宋_GBK"/>
          <w:color w:val="000000"/>
          <w:sz w:val="44"/>
          <w:szCs w:val="44"/>
        </w:rPr>
        <w:t>2023 年全国食品安全抽检任务清单(省级市场监管部门)</w:t>
      </w:r>
    </w:p>
    <w:tbl>
      <w:tblPr>
        <w:tblStyle w:val="4"/>
        <w:tblW w:w="142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40"/>
        <w:gridCol w:w="4106"/>
        <w:gridCol w:w="1907"/>
        <w:gridCol w:w="1293"/>
        <w:gridCol w:w="280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vAlign w:val="center"/>
          </w:tcPr>
          <w:p>
            <w:pPr>
              <w:widowControl/>
              <w:spacing w:line="240" w:lineRule="exact"/>
              <w:jc w:val="left"/>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任务类型</w:t>
            </w:r>
          </w:p>
        </w:tc>
        <w:tc>
          <w:tcPr>
            <w:tcW w:w="1040" w:type="dxa"/>
            <w:vAlign w:val="center"/>
          </w:tcPr>
          <w:p>
            <w:pPr>
              <w:widowControl/>
              <w:spacing w:line="24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任务量</w:t>
            </w:r>
          </w:p>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（批次）</w:t>
            </w:r>
          </w:p>
        </w:tc>
        <w:tc>
          <w:tcPr>
            <w:tcW w:w="4106"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抽检品种及项目</w:t>
            </w:r>
          </w:p>
        </w:tc>
        <w:tc>
          <w:tcPr>
            <w:tcW w:w="1907"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抽检对象</w:t>
            </w:r>
          </w:p>
        </w:tc>
        <w:tc>
          <w:tcPr>
            <w:tcW w:w="1293"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抽检时间及频次</w:t>
            </w:r>
          </w:p>
        </w:tc>
        <w:tc>
          <w:tcPr>
            <w:tcW w:w="280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抽样区域、环节及场所</w:t>
            </w:r>
          </w:p>
        </w:tc>
        <w:tc>
          <w:tcPr>
            <w:tcW w:w="2449"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监督抽检</w:t>
            </w:r>
          </w:p>
        </w:tc>
        <w:tc>
          <w:tcPr>
            <w:tcW w:w="104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sz w:val="22"/>
              </w:rPr>
              <w:t>62620</w:t>
            </w:r>
          </w:p>
        </w:tc>
        <w:tc>
          <w:tcPr>
            <w:tcW w:w="4106"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结合实际确定抽检品种及项目，对风险较高食品、项目等进行抽检。系统梳理辖区内区域性品种、项目风险隐患，按时间、区域、产业科学确定抽检品种及检验项目。</w:t>
            </w:r>
          </w:p>
        </w:tc>
        <w:tc>
          <w:tcPr>
            <w:tcW w:w="1907"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抽检以本省企业生产的，且在本地销售的食品为主，同时可适当抽取部分外省企业生产的食品和通过网络平台销售的食品。</w:t>
            </w:r>
          </w:p>
        </w:tc>
        <w:tc>
          <w:tcPr>
            <w:tcW w:w="1293" w:type="dxa"/>
            <w:vMerge w:val="restart"/>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全年均衡开展。可参照总局本级和中央转移支付地方任务有关要求开展。</w:t>
            </w:r>
          </w:p>
        </w:tc>
        <w:tc>
          <w:tcPr>
            <w:tcW w:w="2800"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1.抽样场所、区域应结合中央转移支付任务确定的抽检范围合理划分，覆盖本省(区、市)行政区域内所有在产获证食品生产企业。</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2.牵头组织全省校园和重大活动保障等专项抽检，对省内重点餐饮单位、食品经营场所和食用农产品批发市场开展抽检，同时开展网销食品抽检。</w:t>
            </w:r>
          </w:p>
        </w:tc>
        <w:tc>
          <w:tcPr>
            <w:tcW w:w="2449" w:type="dxa"/>
            <w:vMerge w:val="restart"/>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1.统筹谋划本省抽检计划任务，对食品风险等级进行划分，细化省、</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市、县三级分工，减少风险低的食品的抽检频次，避免重复抽检。</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2.加强本省抽检工作的考核指导，对市县市场监管部门陪同抽样等提</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出要求，确保抽检样品可溯源。</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3.组织开展专项抽检。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66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风险监测</w:t>
            </w:r>
          </w:p>
        </w:tc>
        <w:tc>
          <w:tcPr>
            <w:tcW w:w="104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1000</w:t>
            </w:r>
          </w:p>
        </w:tc>
        <w:tc>
          <w:tcPr>
            <w:tcW w:w="4106"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1.抽检品种:聚焦当地高风险食品，流通范围广、消费量大的，及以往在国内外导致食品安全事故、导致健康危害或受到消费者关注的食品。</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2.检验项目:紧盯对健康危害较大、风险程度较高、呈上升趋势的食品安全指标。</w:t>
            </w:r>
          </w:p>
        </w:tc>
        <w:tc>
          <w:tcPr>
            <w:tcW w:w="1907" w:type="dxa"/>
            <w:vMerge w:val="continue"/>
            <w:vAlign w:val="center"/>
          </w:tcPr>
          <w:p>
            <w:pPr>
              <w:spacing w:line="240" w:lineRule="exact"/>
              <w:jc w:val="left"/>
              <w:rPr>
                <w:rFonts w:ascii="方正仿宋_GBK" w:hAnsi="方正仿宋_GBK" w:cs="方正仿宋_GBK"/>
                <w:color w:val="000000"/>
                <w:sz w:val="22"/>
              </w:rPr>
            </w:pPr>
          </w:p>
        </w:tc>
        <w:tc>
          <w:tcPr>
            <w:tcW w:w="1293" w:type="dxa"/>
            <w:vMerge w:val="continue"/>
            <w:vAlign w:val="center"/>
          </w:tcPr>
          <w:p>
            <w:pPr>
              <w:spacing w:line="240" w:lineRule="exact"/>
              <w:jc w:val="left"/>
              <w:rPr>
                <w:rFonts w:ascii="方正仿宋_GBK" w:hAnsi="方正仿宋_GBK" w:cs="方正仿宋_GBK"/>
                <w:color w:val="000000"/>
                <w:sz w:val="22"/>
              </w:rPr>
            </w:pPr>
          </w:p>
        </w:tc>
        <w:tc>
          <w:tcPr>
            <w:tcW w:w="2800" w:type="dxa"/>
            <w:vMerge w:val="continue"/>
            <w:vAlign w:val="center"/>
          </w:tcPr>
          <w:p>
            <w:pPr>
              <w:spacing w:line="240" w:lineRule="exact"/>
              <w:jc w:val="left"/>
              <w:rPr>
                <w:rFonts w:ascii="方正仿宋_GBK" w:hAnsi="方正仿宋_GBK" w:cs="方正仿宋_GBK"/>
                <w:color w:val="000000"/>
                <w:sz w:val="22"/>
              </w:rPr>
            </w:pPr>
          </w:p>
        </w:tc>
        <w:tc>
          <w:tcPr>
            <w:tcW w:w="2449" w:type="dxa"/>
            <w:vMerge w:val="continue"/>
            <w:vAlign w:val="center"/>
          </w:tcPr>
          <w:p>
            <w:pPr>
              <w:spacing w:line="240" w:lineRule="exact"/>
              <w:jc w:val="left"/>
              <w:rPr>
                <w:rFonts w:ascii="方正仿宋_GBK" w:hAnsi="方正仿宋_GBK" w:cs="方正仿宋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评价性抽检</w:t>
            </w:r>
          </w:p>
        </w:tc>
        <w:tc>
          <w:tcPr>
            <w:tcW w:w="1040"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4500</w:t>
            </w:r>
          </w:p>
        </w:tc>
        <w:tc>
          <w:tcPr>
            <w:tcW w:w="4106"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抽检品种项目与中央转移支付评价性抽检保持一致。</w:t>
            </w:r>
          </w:p>
        </w:tc>
        <w:tc>
          <w:tcPr>
            <w:tcW w:w="1907"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覆盖总局本级、转移支付任务未抽检的地级市(州、盟)</w:t>
            </w:r>
          </w:p>
        </w:tc>
        <w:tc>
          <w:tcPr>
            <w:tcW w:w="1293"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w:t>
            </w:r>
          </w:p>
        </w:tc>
        <w:tc>
          <w:tcPr>
            <w:tcW w:w="280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应覆盖被抽样市或县(区)的政府所在地，以及当地人口较为集中的区域，根据地区膳食结构和消费习惯合理确定各类食品抽检比例。</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省级自行开展的评价性抽检所在地没有设立“哨点”的地区，应将当地交易量大、覆盖范围广的食用农产品批发市场纳入“哨点”名单开展抽检。</w:t>
            </w:r>
          </w:p>
        </w:tc>
        <w:tc>
          <w:tcPr>
            <w:tcW w:w="2449"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与中央转移支付评价性抽检保持一致。</w:t>
            </w:r>
          </w:p>
        </w:tc>
      </w:tr>
    </w:tbl>
    <w:p>
      <w:pPr>
        <w:spacing w:line="720" w:lineRule="exact"/>
        <w:jc w:val="center"/>
        <w:rPr>
          <w:rFonts w:hint="eastAsia" w:eastAsia="方正小标宋_GBK"/>
          <w:color w:val="000000"/>
          <w:sz w:val="44"/>
          <w:szCs w:val="44"/>
        </w:rPr>
      </w:pPr>
    </w:p>
    <w:p>
      <w:pPr>
        <w:spacing w:line="720" w:lineRule="exact"/>
        <w:jc w:val="center"/>
        <w:rPr>
          <w:rFonts w:eastAsia="方正小标宋_GBK"/>
          <w:color w:val="000000"/>
          <w:sz w:val="44"/>
          <w:szCs w:val="44"/>
        </w:rPr>
      </w:pPr>
      <w:r>
        <w:rPr>
          <w:rFonts w:hint="eastAsia" w:eastAsia="方正小标宋_GBK"/>
          <w:color w:val="000000"/>
          <w:sz w:val="44"/>
          <w:szCs w:val="44"/>
        </w:rPr>
        <w:t>2023 年全国食品安全抽检任务清单(市级市场监管部门)</w:t>
      </w:r>
    </w:p>
    <w:tbl>
      <w:tblPr>
        <w:tblStyle w:val="4"/>
        <w:tblW w:w="142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48"/>
        <w:gridCol w:w="3060"/>
        <w:gridCol w:w="2208"/>
        <w:gridCol w:w="2052"/>
        <w:gridCol w:w="27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7" w:type="dxa"/>
            <w:vAlign w:val="center"/>
          </w:tcPr>
          <w:p>
            <w:pPr>
              <w:widowControl/>
              <w:spacing w:line="240" w:lineRule="exact"/>
              <w:jc w:val="left"/>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任务类型</w:t>
            </w:r>
          </w:p>
        </w:tc>
        <w:tc>
          <w:tcPr>
            <w:tcW w:w="1248" w:type="dxa"/>
            <w:vAlign w:val="center"/>
          </w:tcPr>
          <w:p>
            <w:pPr>
              <w:widowControl/>
              <w:spacing w:line="24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任务量</w:t>
            </w:r>
          </w:p>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（万批次）</w:t>
            </w:r>
          </w:p>
        </w:tc>
        <w:tc>
          <w:tcPr>
            <w:tcW w:w="306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抽检品种及项目</w:t>
            </w:r>
          </w:p>
        </w:tc>
        <w:tc>
          <w:tcPr>
            <w:tcW w:w="2208"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抽检对象</w:t>
            </w:r>
          </w:p>
        </w:tc>
        <w:tc>
          <w:tcPr>
            <w:tcW w:w="2052"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抽检时间及频次</w:t>
            </w:r>
          </w:p>
        </w:tc>
        <w:tc>
          <w:tcPr>
            <w:tcW w:w="2796"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抽样区域、环节及场所</w:t>
            </w:r>
          </w:p>
        </w:tc>
        <w:tc>
          <w:tcPr>
            <w:tcW w:w="2316"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577"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监督抽检</w:t>
            </w:r>
          </w:p>
        </w:tc>
        <w:tc>
          <w:tcPr>
            <w:tcW w:w="1248"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按省级局统一安排。</w:t>
            </w:r>
          </w:p>
        </w:tc>
        <w:tc>
          <w:tcPr>
            <w:tcW w:w="306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 辖区内中型餐饮单位餐饮食品、地方特色食品、市售食用农产品抽检。</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2.自选品种和项目: 应结合当地实际并以问题为导向，经省级局予以确定或确认后实施。</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3.食用农产品抽检应完成指定的必检品种和必检项目，可选项目不应少于2个。</w:t>
            </w:r>
          </w:p>
        </w:tc>
        <w:tc>
          <w:tcPr>
            <w:tcW w:w="2208"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1.负责辖区内中型餐饮单位餐饮食品、地方特色食品、市售食</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用农产品抽检，重点对当地中小型食品经营环节和中小型农产</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品批发市场开展抽检。</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2.按省级局统一安排，可对辖区内在产获证企业开展抽检。</w:t>
            </w:r>
          </w:p>
        </w:tc>
        <w:tc>
          <w:tcPr>
            <w:tcW w:w="205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全年均衡开展任务。食用农产品抽检根据当地农产品交易场所数量、消费量和农产品产销季节特点等确定。</w:t>
            </w:r>
          </w:p>
        </w:tc>
        <w:tc>
          <w:tcPr>
            <w:tcW w:w="2796"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重点对当地批发市场销售的食用农产品，当地学校、幼儿园食堂及配餐公司的餐饮食品等进行抽检。</w:t>
            </w:r>
          </w:p>
        </w:tc>
        <w:tc>
          <w:tcPr>
            <w:tcW w:w="2316"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1.避免对中央转移支付和省级局任务已覆盖的当地获证食品生产企业生产的食品进行重复抽检;</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2.配合上级市场监管部门组织实施的食品安全抽样检验工作。</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3.按规定做好陪同抽样和监督检查工作。</w:t>
            </w:r>
          </w:p>
        </w:tc>
      </w:tr>
    </w:tbl>
    <w:p>
      <w:pPr>
        <w:pStyle w:val="2"/>
        <w:spacing w:after="0" w:line="590" w:lineRule="exact"/>
        <w:ind w:left="0" w:leftChars="0" w:firstLine="0" w:firstLineChars="0"/>
        <w:jc w:val="center"/>
        <w:rPr>
          <w:rFonts w:eastAsia="方正小标宋_GBK"/>
          <w:color w:val="000000"/>
          <w:sz w:val="44"/>
          <w:szCs w:val="44"/>
        </w:rPr>
      </w:pPr>
    </w:p>
    <w:p>
      <w:pPr>
        <w:pStyle w:val="2"/>
        <w:spacing w:after="0" w:line="590" w:lineRule="exact"/>
        <w:ind w:left="0" w:leftChars="0" w:firstLine="0" w:firstLineChars="0"/>
        <w:jc w:val="center"/>
        <w:rPr>
          <w:rFonts w:eastAsia="方正小标宋_GBK"/>
          <w:color w:val="000000"/>
          <w:sz w:val="44"/>
          <w:szCs w:val="44"/>
        </w:rPr>
      </w:pPr>
    </w:p>
    <w:p>
      <w:pPr>
        <w:spacing w:line="720" w:lineRule="exact"/>
        <w:jc w:val="center"/>
        <w:rPr>
          <w:rFonts w:eastAsia="方正小标宋_GBK"/>
          <w:color w:val="000000"/>
          <w:sz w:val="44"/>
          <w:szCs w:val="44"/>
        </w:rPr>
      </w:pPr>
      <w:r>
        <w:rPr>
          <w:rFonts w:hint="eastAsia" w:eastAsia="方正小标宋_GBK"/>
          <w:color w:val="000000"/>
          <w:sz w:val="44"/>
          <w:szCs w:val="44"/>
        </w:rPr>
        <w:t>2023 年全国食品安全抽检任务清单(县级市场监管部门)</w:t>
      </w:r>
    </w:p>
    <w:tbl>
      <w:tblPr>
        <w:tblStyle w:val="4"/>
        <w:tblW w:w="142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48"/>
        <w:gridCol w:w="3060"/>
        <w:gridCol w:w="2208"/>
        <w:gridCol w:w="2052"/>
        <w:gridCol w:w="27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7" w:type="dxa"/>
            <w:vAlign w:val="center"/>
          </w:tcPr>
          <w:p>
            <w:pPr>
              <w:widowControl/>
              <w:spacing w:line="240" w:lineRule="exact"/>
              <w:jc w:val="left"/>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任务类型</w:t>
            </w:r>
          </w:p>
        </w:tc>
        <w:tc>
          <w:tcPr>
            <w:tcW w:w="1248" w:type="dxa"/>
            <w:vAlign w:val="center"/>
          </w:tcPr>
          <w:p>
            <w:pPr>
              <w:widowControl/>
              <w:spacing w:line="24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任务量</w:t>
            </w:r>
          </w:p>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（万批次）</w:t>
            </w:r>
          </w:p>
        </w:tc>
        <w:tc>
          <w:tcPr>
            <w:tcW w:w="3060"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抽检品种及项目</w:t>
            </w:r>
          </w:p>
        </w:tc>
        <w:tc>
          <w:tcPr>
            <w:tcW w:w="2208"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抽检对象</w:t>
            </w:r>
          </w:p>
        </w:tc>
        <w:tc>
          <w:tcPr>
            <w:tcW w:w="2052"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抽检时间及频次</w:t>
            </w:r>
          </w:p>
        </w:tc>
        <w:tc>
          <w:tcPr>
            <w:tcW w:w="2796"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抽样区域、环节及场所</w:t>
            </w:r>
          </w:p>
        </w:tc>
        <w:tc>
          <w:tcPr>
            <w:tcW w:w="2316" w:type="dxa"/>
            <w:vAlign w:val="center"/>
          </w:tcPr>
          <w:p>
            <w:pPr>
              <w:widowControl/>
              <w:spacing w:line="24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77"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监督抽检</w:t>
            </w:r>
          </w:p>
        </w:tc>
        <w:tc>
          <w:tcPr>
            <w:tcW w:w="1248"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按省级局统一安排。</w:t>
            </w:r>
          </w:p>
        </w:tc>
        <w:tc>
          <w:tcPr>
            <w:tcW w:w="3060"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1.抽检品种: 按照上级市场监管部门要求，结合本地实际，做好本辖区食品抽检。重点对当地销售的食用农产品(除批发市场外)，餐饮食品(除学校、幼儿园食堂及集体用餐配送单位外 )，以及当地“三小”(小作坊、小摊贩、小餐饮)食品。</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2.检验项目:食用农产品抽检应完成指定的必检品种和必检项目，可选项目不应少于2个。</w:t>
            </w:r>
          </w:p>
        </w:tc>
        <w:tc>
          <w:tcPr>
            <w:tcW w:w="2208"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负责辖区市售食用农产品和“三小”食品抽检，重点对当地小作坊、小型餐饮单位和小型农贸市场等开展抽检。</w:t>
            </w:r>
          </w:p>
        </w:tc>
        <w:tc>
          <w:tcPr>
            <w:tcW w:w="2052"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全年均衡开展任务。根据当地“三小”和餐饮单位数量、消费量和季节特点等因素确定抽样频次和批次开展抽检;对食用农产品每月抽检。</w:t>
            </w:r>
          </w:p>
        </w:tc>
        <w:tc>
          <w:tcPr>
            <w:tcW w:w="2796" w:type="dxa"/>
            <w:vAlign w:val="center"/>
          </w:tcPr>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抽检场所、区域为当地城乡结合部、农村地区的农贸市场、商场、超市、便利店、小食杂店等。</w:t>
            </w:r>
          </w:p>
        </w:tc>
        <w:tc>
          <w:tcPr>
            <w:tcW w:w="2316" w:type="dxa"/>
            <w:vAlign w:val="center"/>
          </w:tcPr>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1.避免对中央转移支付、省级局和市级局任务已覆盖的当地获证食品生产企业生产的食品进行重复抽检。</w:t>
            </w:r>
          </w:p>
          <w:p>
            <w:pPr>
              <w:widowControl/>
              <w:spacing w:line="240" w:lineRule="exact"/>
              <w:jc w:val="left"/>
              <w:textAlignment w:val="center"/>
              <w:rPr>
                <w:rFonts w:ascii="方正仿宋_GBK" w:hAnsi="方正仿宋_GBK" w:cs="方正仿宋_GBK"/>
                <w:color w:val="000000"/>
                <w:kern w:val="0"/>
                <w:sz w:val="22"/>
                <w:lang w:bidi="ar"/>
              </w:rPr>
            </w:pPr>
            <w:r>
              <w:rPr>
                <w:rFonts w:hint="eastAsia" w:ascii="方正仿宋_GBK" w:hAnsi="方正仿宋_GBK" w:cs="方正仿宋_GBK"/>
                <w:color w:val="000000"/>
                <w:kern w:val="0"/>
                <w:sz w:val="22"/>
                <w:lang w:bidi="ar"/>
              </w:rPr>
              <w:t>2.配合上级市场监管部门组织实施的食品安全抽样检验工作。</w:t>
            </w:r>
          </w:p>
          <w:p>
            <w:pPr>
              <w:widowControl/>
              <w:spacing w:line="240" w:lineRule="exact"/>
              <w:jc w:val="left"/>
              <w:textAlignment w:val="center"/>
              <w:rPr>
                <w:rFonts w:ascii="方正仿宋_GBK" w:hAnsi="方正仿宋_GBK" w:cs="方正仿宋_GBK"/>
                <w:color w:val="000000"/>
                <w:sz w:val="22"/>
              </w:rPr>
            </w:pPr>
            <w:r>
              <w:rPr>
                <w:rFonts w:hint="eastAsia" w:ascii="方正仿宋_GBK" w:hAnsi="方正仿宋_GBK" w:cs="方正仿宋_GBK"/>
                <w:color w:val="000000"/>
                <w:kern w:val="0"/>
                <w:sz w:val="22"/>
                <w:lang w:bidi="ar"/>
              </w:rPr>
              <w:t>3.按规定做好陪同抽样和监督检查工作。</w:t>
            </w:r>
          </w:p>
        </w:tc>
      </w:tr>
    </w:tbl>
    <w:p>
      <w:pPr>
        <w:pStyle w:val="2"/>
        <w:spacing w:after="0" w:line="590" w:lineRule="exact"/>
        <w:ind w:left="0" w:leftChars="0" w:firstLine="0" w:firstLineChars="0"/>
        <w:jc w:val="center"/>
        <w:rPr>
          <w:rFonts w:eastAsia="方正小标宋_GBK"/>
          <w:color w:val="000000"/>
          <w:sz w:val="44"/>
          <w:szCs w:val="44"/>
        </w:rPr>
      </w:pPr>
    </w:p>
    <w:p>
      <w:pPr>
        <w:spacing w:line="590" w:lineRule="exact"/>
        <w:jc w:val="left"/>
        <w:rPr>
          <w:rFonts w:hint="eastAsia" w:eastAsia="方正黑体_GBK"/>
          <w:color w:val="000000"/>
          <w:szCs w:val="32"/>
        </w:rPr>
      </w:pPr>
    </w:p>
    <w:p>
      <w:pPr>
        <w:rPr>
          <w:b/>
          <w:bCs/>
        </w:rPr>
      </w:pPr>
    </w:p>
    <w:sectPr>
      <w:pgSz w:w="16838" w:h="11906" w:orient="landscape"/>
      <w:pgMar w:top="1587" w:right="2098" w:bottom="1474" w:left="1984"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77F0A"/>
    <w:rsid w:val="43FE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2023-02-18T01:37:00Z</dcterms:created>
  <dc:creator>admin</dc:creator>
  <cp:lastModifiedBy>我刘东霖不胖</cp:lastModifiedBy>
  <dcterms:modified xsi:type="dcterms:W3CDTF">2023-02-23T02:47:48Z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