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pacing w:val="6"/>
          <w:sz w:val="32"/>
          <w:szCs w:val="32"/>
          <w:lang w:eastAsia="zh-CN"/>
        </w:rPr>
      </w:pPr>
      <w:r>
        <w:rPr>
          <w:rFonts w:hint="eastAsia" w:ascii="方正小标宋简体" w:hAnsi="方正小标宋简体" w:eastAsia="方正小标宋简体" w:cs="方正小标宋简体"/>
          <w:b w:val="0"/>
          <w:bCs w:val="0"/>
          <w:spacing w:val="6"/>
          <w:sz w:val="32"/>
          <w:szCs w:val="32"/>
          <w:lang w:eastAsia="zh-CN"/>
        </w:rPr>
        <w:t>电动自行车蓄电池</w:t>
      </w:r>
      <w:r>
        <w:rPr>
          <w:rFonts w:hint="eastAsia" w:ascii="方正小标宋简体" w:hAnsi="方正小标宋简体" w:eastAsia="方正小标宋简体" w:cs="方正小标宋简体"/>
          <w:b w:val="0"/>
          <w:bCs w:val="0"/>
          <w:spacing w:val="6"/>
          <w:sz w:val="32"/>
          <w:szCs w:val="32"/>
        </w:rPr>
        <w:t>产品质量</w:t>
      </w:r>
      <w:r>
        <w:rPr>
          <w:rFonts w:hint="eastAsia" w:ascii="方正小标宋简体" w:hAnsi="方正小标宋简体" w:eastAsia="方正小标宋简体" w:cs="方正小标宋简体"/>
          <w:b w:val="0"/>
          <w:bCs w:val="0"/>
          <w:spacing w:val="6"/>
          <w:sz w:val="32"/>
          <w:szCs w:val="32"/>
          <w:lang w:eastAsia="zh-CN"/>
        </w:rPr>
        <w:t>监督抽查实施细则</w:t>
      </w:r>
    </w:p>
    <w:p>
      <w:pPr>
        <w:jc w:val="center"/>
        <w:rPr>
          <w:rFonts w:ascii="黑体" w:hAnsi="黑体" w:eastAsia="黑体" w:cs="黑体"/>
          <w:spacing w:val="6"/>
          <w:sz w:val="32"/>
          <w:szCs w:val="32"/>
          <w:lang w:eastAsia="zh-CN"/>
        </w:rPr>
      </w:pPr>
    </w:p>
    <w:p>
      <w:pPr>
        <w:pStyle w:val="12"/>
        <w:numPr>
          <w:ilvl w:val="0"/>
          <w:numId w:val="0"/>
        </w:numPr>
        <w:spacing w:line="580" w:lineRule="exact"/>
        <w:ind w:leftChars="0"/>
        <w:rPr>
          <w:rFonts w:hint="eastAsia" w:ascii="黑体" w:hAnsi="黑体" w:eastAsia="黑体" w:cs="黑体"/>
          <w:sz w:val="21"/>
          <w:szCs w:val="21"/>
          <w:lang w:eastAsia="zh-CN"/>
        </w:rPr>
      </w:pPr>
      <w:r>
        <w:rPr>
          <w:rFonts w:hint="eastAsia" w:ascii="黑体" w:hAnsi="黑体" w:eastAsia="黑体" w:cs="黑体"/>
          <w:spacing w:val="6"/>
          <w:sz w:val="21"/>
          <w:szCs w:val="21"/>
          <w:lang w:val="en-US" w:eastAsia="zh-CN"/>
        </w:rPr>
        <w:t xml:space="preserve">1 </w:t>
      </w:r>
      <w:r>
        <w:rPr>
          <w:rFonts w:hint="eastAsia" w:ascii="黑体" w:hAnsi="黑体" w:eastAsia="黑体" w:cs="黑体"/>
          <w:spacing w:val="6"/>
          <w:sz w:val="21"/>
          <w:szCs w:val="21"/>
        </w:rPr>
        <w:t>抽查</w:t>
      </w:r>
      <w:r>
        <w:rPr>
          <w:rFonts w:hint="eastAsia" w:ascii="黑体" w:hAnsi="黑体" w:eastAsia="黑体" w:cs="黑体"/>
          <w:sz w:val="21"/>
          <w:szCs w:val="21"/>
        </w:rPr>
        <w:t>范围</w:t>
      </w:r>
    </w:p>
    <w:p>
      <w:pPr>
        <w:pStyle w:val="12"/>
        <w:spacing w:line="580" w:lineRule="exact"/>
        <w:ind w:left="400" w:firstLine="0" w:firstLineChars="0"/>
        <w:rPr>
          <w:rFonts w:hint="eastAsia" w:ascii="宋体" w:hAnsi="宋体" w:eastAsia="宋体" w:cs="宋体"/>
          <w:sz w:val="21"/>
          <w:szCs w:val="21"/>
        </w:rPr>
      </w:pPr>
      <w:r>
        <w:rPr>
          <w:rFonts w:hint="eastAsia" w:ascii="宋体" w:hAnsi="宋体" w:eastAsia="宋体" w:cs="宋体"/>
          <w:sz w:val="21"/>
          <w:szCs w:val="21"/>
        </w:rPr>
        <w:t>本方案适用</w:t>
      </w:r>
      <w:r>
        <w:rPr>
          <w:rFonts w:hint="eastAsia" w:ascii="宋体" w:hAnsi="宋体" w:eastAsia="宋体" w:cs="宋体"/>
          <w:sz w:val="21"/>
          <w:szCs w:val="21"/>
          <w:lang w:eastAsia="zh-CN"/>
        </w:rPr>
        <w:t>于九龙坡区内电动自行车蓄电池产品</w:t>
      </w:r>
      <w:r>
        <w:rPr>
          <w:rFonts w:hint="eastAsia" w:ascii="宋体" w:hAnsi="宋体" w:eastAsia="宋体" w:cs="宋体"/>
          <w:sz w:val="21"/>
          <w:szCs w:val="21"/>
        </w:rPr>
        <w:t>质量的市场监督抽样检验。</w:t>
      </w:r>
    </w:p>
    <w:p>
      <w:pPr>
        <w:pStyle w:val="12"/>
        <w:spacing w:line="580" w:lineRule="exact"/>
        <w:ind w:left="400" w:firstLine="0" w:firstLineChars="0"/>
        <w:rPr>
          <w:rFonts w:hint="eastAsia" w:ascii="宋体" w:hAnsi="宋体" w:eastAsia="宋体" w:cs="宋体"/>
          <w:sz w:val="21"/>
          <w:szCs w:val="21"/>
          <w:lang w:eastAsia="zh-CN"/>
        </w:rPr>
      </w:pPr>
    </w:p>
    <w:p>
      <w:pPr>
        <w:rPr>
          <w:rFonts w:hint="eastAsia" w:ascii="黑体" w:hAnsi="黑体" w:eastAsia="黑体" w:cs="黑体"/>
          <w:sz w:val="21"/>
          <w:szCs w:val="21"/>
          <w:lang w:eastAsia="zh-CN"/>
        </w:rPr>
      </w:pPr>
      <w:r>
        <w:rPr>
          <w:rFonts w:hint="eastAsia" w:ascii="黑体" w:hAnsi="黑体" w:eastAsia="黑体" w:cs="黑体"/>
          <w:sz w:val="21"/>
          <w:szCs w:val="21"/>
          <w:lang w:val="en-US" w:eastAsia="zh-CN"/>
        </w:rPr>
        <w:t xml:space="preserve">2 </w:t>
      </w:r>
      <w:r>
        <w:rPr>
          <w:rFonts w:hint="eastAsia" w:ascii="黑体" w:hAnsi="黑体" w:eastAsia="黑体" w:cs="黑体"/>
          <w:spacing w:val="2"/>
          <w:sz w:val="21"/>
          <w:szCs w:val="21"/>
        </w:rPr>
        <w:t>抽样</w:t>
      </w:r>
    </w:p>
    <w:p>
      <w:pPr>
        <w:keepNext w:val="0"/>
        <w:keepLines w:val="0"/>
        <w:pageBreakBefore w:val="0"/>
        <w:widowControl/>
        <w:kinsoku w:val="0"/>
        <w:wordWrap/>
        <w:overflowPunct/>
        <w:topLinePunct w:val="0"/>
        <w:autoSpaceDE w:val="0"/>
        <w:autoSpaceDN w:val="0"/>
        <w:bidi w:val="0"/>
        <w:adjustRightInd w:val="0"/>
        <w:snapToGrid w:val="0"/>
        <w:spacing w:before="265" w:line="360" w:lineRule="auto"/>
        <w:ind w:firstLine="448" w:firstLineChars="200"/>
        <w:jc w:val="both"/>
        <w:textAlignment w:val="baseline"/>
        <w:rPr>
          <w:rFonts w:hint="eastAsia" w:ascii="宋体" w:hAnsi="宋体" w:eastAsia="宋体" w:cs="宋体"/>
          <w:spacing w:val="7"/>
          <w:position w:val="5"/>
          <w:sz w:val="21"/>
          <w:szCs w:val="21"/>
          <w:lang w:eastAsia="zh-CN"/>
        </w:rPr>
      </w:pPr>
      <w:r>
        <w:rPr>
          <w:rFonts w:hint="eastAsia" w:ascii="宋体" w:hAnsi="宋体" w:eastAsia="宋体" w:cs="宋体"/>
          <w:spacing w:val="7"/>
          <w:position w:val="5"/>
          <w:sz w:val="21"/>
          <w:szCs w:val="21"/>
          <w:lang w:eastAsia="zh-CN"/>
        </w:rPr>
        <w:t xml:space="preserve">1. </w:t>
      </w:r>
      <w:r>
        <w:rPr>
          <w:rFonts w:hint="eastAsia" w:ascii="宋体" w:hAnsi="宋体" w:eastAsia="宋体" w:cs="宋体"/>
          <w:spacing w:val="7"/>
          <w:position w:val="5"/>
          <w:sz w:val="21"/>
          <w:szCs w:val="21"/>
        </w:rPr>
        <w:t>以随机抽样的方式在被抽样生产者、销售者的待销产品中抽取。</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2. </w:t>
      </w:r>
      <w:r>
        <w:rPr>
          <w:rFonts w:hint="eastAsia" w:ascii="宋体" w:hAnsi="宋体" w:eastAsia="宋体" w:cs="宋体"/>
          <w:sz w:val="21"/>
          <w:szCs w:val="21"/>
        </w:rPr>
        <w:t>以同一厂家（或同一商标）、同</w:t>
      </w:r>
      <w:r>
        <w:rPr>
          <w:rFonts w:hint="eastAsia" w:ascii="宋体" w:hAnsi="宋体" w:eastAsia="宋体" w:cs="宋体"/>
          <w:sz w:val="21"/>
          <w:szCs w:val="21"/>
          <w:lang w:eastAsia="zh-CN"/>
        </w:rPr>
        <w:t>规格</w:t>
      </w:r>
      <w:r>
        <w:rPr>
          <w:rFonts w:hint="eastAsia" w:ascii="宋体" w:hAnsi="宋体" w:eastAsia="宋体" w:cs="宋体"/>
          <w:sz w:val="21"/>
          <w:szCs w:val="21"/>
        </w:rPr>
        <w:t>型号的产品集合作为一个监督</w:t>
      </w:r>
      <w:r>
        <w:rPr>
          <w:rFonts w:hint="eastAsia" w:ascii="宋体" w:hAnsi="宋体" w:eastAsia="宋体" w:cs="宋体"/>
          <w:sz w:val="21"/>
          <w:szCs w:val="21"/>
          <w:lang w:eastAsia="zh-CN"/>
        </w:rPr>
        <w:t>抽样</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rPr>
        <w:t>总体</w:t>
      </w:r>
      <w:r>
        <w:rPr>
          <w:rFonts w:hint="eastAsia" w:ascii="宋体" w:hAnsi="宋体" w:eastAsia="宋体" w:cs="宋体"/>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    3.</w:t>
      </w:r>
      <w:r>
        <w:rPr>
          <w:rFonts w:hint="eastAsia" w:ascii="宋体" w:hAnsi="宋体" w:eastAsia="宋体" w:cs="宋体"/>
          <w:sz w:val="21"/>
          <w:szCs w:val="21"/>
        </w:rPr>
        <w:t>每组抽样人员2-4人。由市场监督管理局</w:t>
      </w:r>
      <w:bookmarkStart w:id="0" w:name="_GoBack"/>
      <w:bookmarkEnd w:id="0"/>
      <w:r>
        <w:rPr>
          <w:rFonts w:hint="eastAsia" w:ascii="宋体" w:hAnsi="宋体" w:eastAsia="宋体" w:cs="宋体"/>
          <w:sz w:val="21"/>
          <w:szCs w:val="21"/>
          <w:lang w:eastAsia="zh-CN"/>
        </w:rPr>
        <w:t>或</w:t>
      </w:r>
      <w:r>
        <w:rPr>
          <w:rFonts w:hint="eastAsia" w:ascii="宋体" w:hAnsi="宋体" w:eastAsia="宋体" w:cs="宋体"/>
          <w:sz w:val="21"/>
          <w:szCs w:val="21"/>
        </w:rPr>
        <w:t>检验单</w:t>
      </w:r>
      <w:r>
        <w:rPr>
          <w:rFonts w:hint="eastAsia" w:ascii="宋体" w:hAnsi="宋体" w:eastAsia="宋体" w:cs="宋体"/>
          <w:sz w:val="21"/>
          <w:szCs w:val="21"/>
          <w:lang w:eastAsia="zh-CN"/>
        </w:rPr>
        <w:t>位工作人员组成。</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3 抽样数量</w:t>
      </w:r>
    </w:p>
    <w:p>
      <w:pPr>
        <w:spacing w:line="560" w:lineRule="exact"/>
        <w:ind w:firstLine="420" w:firstLineChars="200"/>
        <w:rPr>
          <w:rFonts w:hint="eastAsia" w:ascii="宋体" w:hAnsi="宋体" w:eastAsia="宋体" w:cs="宋体"/>
          <w:spacing w:val="5"/>
          <w:sz w:val="21"/>
          <w:szCs w:val="21"/>
          <w:lang w:eastAsia="zh-CN"/>
        </w:rPr>
      </w:pPr>
      <w:r>
        <w:rPr>
          <w:rFonts w:hint="eastAsia" w:ascii="宋体" w:hAnsi="宋体" w:eastAsia="宋体" w:cs="宋体"/>
          <w:sz w:val="21"/>
          <w:szCs w:val="21"/>
          <w:lang w:val="en-US" w:eastAsia="zh-CN"/>
        </w:rPr>
        <w:t xml:space="preserve"> </w:t>
      </w:r>
      <w:r>
        <w:rPr>
          <w:color w:val="000000"/>
          <w:sz w:val="21"/>
          <w:szCs w:val="21"/>
        </w:rPr>
        <w:t>每批次产品抽取样品2</w:t>
      </w:r>
      <w:r>
        <w:rPr>
          <w:rFonts w:hint="eastAsia" w:eastAsia="宋体"/>
          <w:color w:val="000000"/>
          <w:sz w:val="21"/>
          <w:szCs w:val="21"/>
          <w:lang w:eastAsia="zh-CN"/>
        </w:rPr>
        <w:t>组</w:t>
      </w:r>
      <w:r>
        <w:rPr>
          <w:color w:val="000000"/>
          <w:sz w:val="21"/>
          <w:szCs w:val="21"/>
        </w:rPr>
        <w:t>（</w:t>
      </w:r>
      <w:r>
        <w:rPr>
          <w:rFonts w:hint="eastAsia" w:eastAsia="宋体"/>
          <w:color w:val="000000"/>
          <w:sz w:val="21"/>
          <w:szCs w:val="21"/>
          <w:lang w:val="en-US" w:eastAsia="zh-CN"/>
        </w:rPr>
        <w:t>8块</w:t>
      </w:r>
      <w:r>
        <w:rPr>
          <w:color w:val="000000"/>
          <w:sz w:val="21"/>
          <w:szCs w:val="21"/>
        </w:rPr>
        <w:t>），其中1</w:t>
      </w:r>
      <w:r>
        <w:rPr>
          <w:rFonts w:hint="eastAsia" w:eastAsia="宋体"/>
          <w:color w:val="000000"/>
          <w:sz w:val="21"/>
          <w:szCs w:val="21"/>
          <w:lang w:eastAsia="zh-CN"/>
        </w:rPr>
        <w:t>组</w:t>
      </w:r>
      <w:r>
        <w:rPr>
          <w:color w:val="000000"/>
          <w:sz w:val="21"/>
          <w:szCs w:val="21"/>
        </w:rPr>
        <w:t>（</w:t>
      </w:r>
      <w:r>
        <w:rPr>
          <w:rFonts w:hint="eastAsia" w:eastAsia="宋体"/>
          <w:color w:val="000000"/>
          <w:sz w:val="21"/>
          <w:szCs w:val="21"/>
          <w:lang w:val="en-US" w:eastAsia="zh-CN"/>
        </w:rPr>
        <w:t>4块</w:t>
      </w:r>
      <w:r>
        <w:rPr>
          <w:color w:val="000000"/>
          <w:sz w:val="21"/>
          <w:szCs w:val="21"/>
        </w:rPr>
        <w:t>）作为检验样品，1</w:t>
      </w:r>
      <w:r>
        <w:rPr>
          <w:rFonts w:hint="eastAsia" w:eastAsia="宋体"/>
          <w:color w:val="000000"/>
          <w:sz w:val="21"/>
          <w:szCs w:val="21"/>
          <w:lang w:eastAsia="zh-CN"/>
        </w:rPr>
        <w:t>组</w:t>
      </w:r>
      <w:r>
        <w:rPr>
          <w:color w:val="000000"/>
          <w:sz w:val="21"/>
          <w:szCs w:val="21"/>
        </w:rPr>
        <w:t>（</w:t>
      </w:r>
      <w:r>
        <w:rPr>
          <w:rFonts w:hint="eastAsia" w:eastAsia="宋体"/>
          <w:color w:val="000000"/>
          <w:sz w:val="21"/>
          <w:szCs w:val="21"/>
          <w:lang w:val="en-US" w:eastAsia="zh-CN"/>
        </w:rPr>
        <w:t>4块</w:t>
      </w:r>
      <w:r>
        <w:rPr>
          <w:color w:val="000000"/>
          <w:sz w:val="21"/>
          <w:szCs w:val="21"/>
        </w:rPr>
        <w:t>）作为备用样品。</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w:t>
      </w:r>
      <w:r>
        <w:rPr>
          <w:rFonts w:hint="eastAsia" w:ascii="宋体" w:hAnsi="宋体" w:eastAsia="宋体" w:cs="宋体"/>
          <w:kern w:val="0"/>
          <w:sz w:val="21"/>
          <w:szCs w:val="21"/>
        </w:rPr>
        <w:t>备用样品封存于</w:t>
      </w:r>
      <w:r>
        <w:rPr>
          <w:rFonts w:hint="eastAsia" w:ascii="宋体" w:hAnsi="宋体" w:eastAsia="宋体" w:cs="宋体"/>
          <w:kern w:val="0"/>
          <w:sz w:val="21"/>
          <w:szCs w:val="21"/>
          <w:lang w:eastAsia="zh-CN"/>
        </w:rPr>
        <w:t>检测机构。</w:t>
      </w:r>
    </w:p>
    <w:p>
      <w:pPr>
        <w:pStyle w:val="3"/>
        <w:spacing w:before="266" w:line="230" w:lineRule="auto"/>
        <w:ind w:left="20"/>
        <w:rPr>
          <w:rFonts w:hint="eastAsia" w:ascii="黑体" w:hAnsi="黑体" w:eastAsia="黑体" w:cs="黑体"/>
          <w:sz w:val="21"/>
          <w:szCs w:val="21"/>
        </w:rPr>
      </w:pPr>
      <w:r>
        <w:rPr>
          <w:rFonts w:hint="eastAsia" w:cs="黑体"/>
          <w:spacing w:val="6"/>
          <w:sz w:val="21"/>
          <w:szCs w:val="21"/>
          <w:lang w:val="en-US" w:eastAsia="zh-CN"/>
        </w:rPr>
        <w:t xml:space="preserve">4 </w:t>
      </w:r>
      <w:r>
        <w:rPr>
          <w:rFonts w:hint="eastAsia" w:ascii="黑体" w:hAnsi="黑体" w:eastAsia="黑体" w:cs="黑体"/>
          <w:spacing w:val="6"/>
          <w:sz w:val="21"/>
          <w:szCs w:val="21"/>
        </w:rPr>
        <w:t>检验</w:t>
      </w:r>
      <w:r>
        <w:rPr>
          <w:rFonts w:hint="eastAsia" w:ascii="黑体" w:hAnsi="黑体" w:eastAsia="黑体" w:cs="黑体"/>
          <w:spacing w:val="6"/>
          <w:sz w:val="21"/>
          <w:szCs w:val="21"/>
          <w:lang w:eastAsia="zh-CN"/>
        </w:rPr>
        <w:t>项目</w:t>
      </w:r>
    </w:p>
    <w:p>
      <w:pPr>
        <w:pStyle w:val="13"/>
        <w:spacing w:before="156" w:after="156"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lang w:eastAsia="zh-CN"/>
        </w:rPr>
        <w:t>表</w:t>
      </w:r>
      <w:r>
        <w:rPr>
          <w:rFonts w:hint="eastAsia" w:asciiTheme="minorEastAsia" w:hAnsiTheme="minorEastAsia" w:eastAsiaTheme="minorEastAsia" w:cstheme="minorEastAsia"/>
          <w:b/>
          <w:color w:val="000000"/>
          <w:sz w:val="28"/>
          <w:szCs w:val="28"/>
          <w:lang w:val="en-US" w:eastAsia="zh-CN"/>
        </w:rPr>
        <w:t>1 电动助力车用阀控式铅酸蓄电池</w:t>
      </w:r>
      <w:r>
        <w:rPr>
          <w:rFonts w:hint="eastAsia" w:asciiTheme="minorEastAsia" w:hAnsiTheme="minorEastAsia" w:eastAsiaTheme="minorEastAsia" w:cstheme="minorEastAsia"/>
          <w:b/>
          <w:color w:val="000000"/>
          <w:sz w:val="28"/>
          <w:szCs w:val="28"/>
        </w:rPr>
        <w:t>检验项目</w:t>
      </w:r>
    </w:p>
    <w:p>
      <w:pPr>
        <w:spacing w:line="112" w:lineRule="exact"/>
        <w:rPr>
          <w:rFonts w:hint="eastAsia" w:asciiTheme="minorEastAsia" w:hAnsiTheme="minorEastAsia" w:eastAsiaTheme="minorEastAsia" w:cstheme="minorEastAsia"/>
          <w:sz w:val="21"/>
          <w:szCs w:val="21"/>
        </w:rPr>
      </w:pPr>
    </w:p>
    <w:tbl>
      <w:tblPr>
        <w:tblStyle w:val="10"/>
        <w:tblW w:w="8296" w:type="dxa"/>
        <w:tblInd w:w="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3945"/>
        <w:gridCol w:w="36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15" w:type="dxa"/>
          </w:tcPr>
          <w:p>
            <w:pPr>
              <w:spacing w:before="138" w:line="231" w:lineRule="auto"/>
              <w:ind w:left="152"/>
              <w:rPr>
                <w:rFonts w:hint="eastAsia" w:ascii="仿宋" w:hAnsi="仿宋" w:eastAsia="仿宋" w:cs="仿宋"/>
                <w:sz w:val="24"/>
                <w:szCs w:val="24"/>
              </w:rPr>
            </w:pPr>
            <w:r>
              <w:rPr>
                <w:rFonts w:hint="eastAsia" w:ascii="仿宋" w:hAnsi="仿宋" w:eastAsia="仿宋" w:cs="仿宋"/>
                <w:spacing w:val="4"/>
                <w:sz w:val="24"/>
                <w:szCs w:val="24"/>
              </w:rPr>
              <w:t>序号</w:t>
            </w:r>
          </w:p>
        </w:tc>
        <w:tc>
          <w:tcPr>
            <w:tcW w:w="3945" w:type="dxa"/>
          </w:tcPr>
          <w:p>
            <w:pPr>
              <w:spacing w:before="137" w:line="230" w:lineRule="auto"/>
              <w:ind w:left="1601"/>
              <w:rPr>
                <w:rFonts w:hint="eastAsia" w:ascii="仿宋" w:hAnsi="仿宋" w:eastAsia="仿宋" w:cs="仿宋"/>
                <w:sz w:val="24"/>
                <w:szCs w:val="24"/>
              </w:rPr>
            </w:pPr>
            <w:r>
              <w:rPr>
                <w:rFonts w:hint="eastAsia" w:ascii="仿宋" w:hAnsi="仿宋" w:eastAsia="仿宋" w:cs="仿宋"/>
                <w:spacing w:val="8"/>
                <w:sz w:val="24"/>
                <w:szCs w:val="24"/>
              </w:rPr>
              <w:t>检验项目</w:t>
            </w:r>
          </w:p>
        </w:tc>
        <w:tc>
          <w:tcPr>
            <w:tcW w:w="3636" w:type="dxa"/>
          </w:tcPr>
          <w:p>
            <w:pPr>
              <w:spacing w:before="137" w:line="229" w:lineRule="auto"/>
              <w:ind w:left="1352"/>
              <w:rPr>
                <w:rFonts w:hint="eastAsia" w:ascii="仿宋" w:hAnsi="仿宋" w:eastAsia="仿宋" w:cs="仿宋"/>
                <w:sz w:val="24"/>
                <w:szCs w:val="24"/>
              </w:rPr>
            </w:pPr>
            <w:r>
              <w:rPr>
                <w:rFonts w:hint="eastAsia" w:ascii="仿宋" w:hAnsi="仿宋" w:eastAsia="仿宋" w:cs="仿宋"/>
                <w:spacing w:val="8"/>
                <w:sz w:val="24"/>
                <w:szCs w:val="24"/>
              </w:rPr>
              <w:t>检验方法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5" w:type="dxa"/>
          </w:tcPr>
          <w:p>
            <w:pPr>
              <w:pStyle w:val="11"/>
              <w:spacing w:before="198" w:line="189" w:lineRule="auto"/>
              <w:ind w:left="326"/>
              <w:rPr>
                <w:rFonts w:hint="eastAsia" w:ascii="仿宋" w:hAnsi="仿宋" w:eastAsia="仿宋" w:cs="仿宋"/>
                <w:sz w:val="24"/>
                <w:szCs w:val="24"/>
                <w:lang w:eastAsia="zh-CN"/>
              </w:rPr>
            </w:pPr>
            <w:r>
              <w:rPr>
                <w:rFonts w:hint="eastAsia" w:ascii="仿宋" w:hAnsi="仿宋" w:eastAsia="仿宋" w:cs="仿宋"/>
                <w:sz w:val="24"/>
                <w:szCs w:val="24"/>
                <w:lang w:eastAsia="zh-CN"/>
              </w:rPr>
              <w:t>1</w:t>
            </w:r>
          </w:p>
        </w:tc>
        <w:tc>
          <w:tcPr>
            <w:tcW w:w="3945" w:type="dxa"/>
            <w:vAlign w:val="top"/>
          </w:tcPr>
          <w:p>
            <w:pPr>
              <w:pStyle w:val="11"/>
              <w:spacing w:before="165" w:line="228" w:lineRule="auto"/>
              <w:rPr>
                <w:rFonts w:hint="eastAsia" w:ascii="仿宋" w:hAnsi="仿宋" w:eastAsia="仿宋" w:cs="仿宋"/>
                <w:spacing w:val="9"/>
                <w:sz w:val="24"/>
                <w:szCs w:val="24"/>
                <w:lang w:eastAsia="zh-CN"/>
              </w:rPr>
            </w:pPr>
            <w:r>
              <w:rPr>
                <w:rFonts w:hint="eastAsia" w:ascii="仿宋" w:hAnsi="仿宋" w:eastAsia="仿宋" w:cs="仿宋"/>
                <w:color w:val="000000"/>
                <w:sz w:val="24"/>
                <w:szCs w:val="24"/>
                <w:lang w:eastAsia="zh-CN" w:bidi="ar"/>
              </w:rPr>
              <w:t>2hr容量</w:t>
            </w:r>
          </w:p>
        </w:tc>
        <w:tc>
          <w:tcPr>
            <w:tcW w:w="3636" w:type="dxa"/>
            <w:vAlign w:val="center"/>
          </w:tcPr>
          <w:p>
            <w:pPr>
              <w:pStyle w:val="11"/>
              <w:spacing w:before="63" w:line="271" w:lineRule="exact"/>
              <w:jc w:val="center"/>
              <w:rPr>
                <w:rFonts w:hint="eastAsia" w:ascii="仿宋" w:hAnsi="仿宋" w:eastAsia="仿宋" w:cs="仿宋"/>
                <w:position w:val="7"/>
                <w:sz w:val="24"/>
                <w:szCs w:val="24"/>
              </w:rPr>
            </w:pPr>
            <w:r>
              <w:rPr>
                <w:rFonts w:hint="eastAsia" w:ascii="仿宋" w:hAnsi="仿宋" w:eastAsia="仿宋" w:cs="仿宋"/>
                <w:color w:val="000000"/>
                <w:sz w:val="24"/>
                <w:szCs w:val="24"/>
                <w:lang w:eastAsia="zh-CN" w:bidi="ar"/>
              </w:rPr>
              <w:t>GB/T 22199.1-2017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5" w:type="dxa"/>
          </w:tcPr>
          <w:p>
            <w:pPr>
              <w:pStyle w:val="11"/>
              <w:spacing w:before="198" w:line="189" w:lineRule="auto"/>
              <w:ind w:left="326"/>
              <w:rPr>
                <w:rFonts w:hint="eastAsia" w:ascii="仿宋" w:hAnsi="仿宋" w:eastAsia="仿宋" w:cs="仿宋"/>
                <w:sz w:val="24"/>
                <w:szCs w:val="24"/>
                <w:lang w:eastAsia="zh-CN"/>
              </w:rPr>
            </w:pPr>
            <w:r>
              <w:rPr>
                <w:rFonts w:hint="eastAsia" w:ascii="仿宋" w:hAnsi="仿宋" w:eastAsia="仿宋" w:cs="仿宋"/>
                <w:sz w:val="24"/>
                <w:szCs w:val="24"/>
                <w:lang w:eastAsia="zh-CN"/>
              </w:rPr>
              <w:t>2</w:t>
            </w:r>
          </w:p>
        </w:tc>
        <w:tc>
          <w:tcPr>
            <w:tcW w:w="3945" w:type="dxa"/>
            <w:vAlign w:val="top"/>
          </w:tcPr>
          <w:p>
            <w:pPr>
              <w:pStyle w:val="11"/>
              <w:spacing w:before="165" w:line="228" w:lineRule="auto"/>
              <w:rPr>
                <w:rFonts w:hint="eastAsia" w:ascii="仿宋" w:hAnsi="仿宋" w:eastAsia="仿宋" w:cs="仿宋"/>
                <w:sz w:val="24"/>
                <w:szCs w:val="24"/>
              </w:rPr>
            </w:pPr>
            <w:r>
              <w:rPr>
                <w:rFonts w:hint="eastAsia" w:ascii="仿宋" w:hAnsi="仿宋" w:eastAsia="仿宋" w:cs="仿宋"/>
                <w:color w:val="000000"/>
                <w:sz w:val="24"/>
                <w:szCs w:val="24"/>
                <w:lang w:eastAsia="zh-CN" w:bidi="ar"/>
              </w:rPr>
              <w:t>大电流放电</w:t>
            </w:r>
          </w:p>
        </w:tc>
        <w:tc>
          <w:tcPr>
            <w:tcW w:w="3636" w:type="dxa"/>
            <w:vAlign w:val="center"/>
          </w:tcPr>
          <w:p>
            <w:pPr>
              <w:pStyle w:val="11"/>
              <w:spacing w:before="63" w:line="271" w:lineRule="exact"/>
              <w:jc w:val="center"/>
              <w:rPr>
                <w:rFonts w:hint="eastAsia" w:ascii="仿宋" w:hAnsi="仿宋" w:eastAsia="仿宋" w:cs="仿宋"/>
                <w:sz w:val="24"/>
                <w:szCs w:val="24"/>
              </w:rPr>
            </w:pPr>
            <w:r>
              <w:rPr>
                <w:rFonts w:hint="eastAsia" w:ascii="仿宋" w:hAnsi="仿宋" w:eastAsia="仿宋" w:cs="仿宋"/>
                <w:color w:val="000000"/>
                <w:sz w:val="24"/>
                <w:szCs w:val="24"/>
                <w:lang w:eastAsia="zh-CN" w:bidi="ar"/>
              </w:rPr>
              <w:t>GB/T 22199.1-2017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15" w:type="dxa"/>
          </w:tcPr>
          <w:p>
            <w:pPr>
              <w:pStyle w:val="11"/>
              <w:spacing w:before="200" w:line="189" w:lineRule="auto"/>
              <w:ind w:left="313"/>
              <w:rPr>
                <w:rFonts w:hint="eastAsia" w:ascii="仿宋" w:hAnsi="仿宋" w:eastAsia="仿宋" w:cs="仿宋"/>
                <w:sz w:val="24"/>
                <w:szCs w:val="24"/>
                <w:lang w:eastAsia="zh-CN"/>
              </w:rPr>
            </w:pPr>
            <w:r>
              <w:rPr>
                <w:rFonts w:hint="eastAsia" w:ascii="仿宋" w:hAnsi="仿宋" w:eastAsia="仿宋" w:cs="仿宋"/>
                <w:sz w:val="24"/>
                <w:szCs w:val="24"/>
                <w:lang w:eastAsia="zh-CN"/>
              </w:rPr>
              <w:t>3</w:t>
            </w:r>
          </w:p>
        </w:tc>
        <w:tc>
          <w:tcPr>
            <w:tcW w:w="3945" w:type="dxa"/>
            <w:vAlign w:val="center"/>
          </w:tcPr>
          <w:p>
            <w:pPr>
              <w:rPr>
                <w:rFonts w:hint="eastAsia" w:ascii="仿宋" w:hAnsi="仿宋" w:eastAsia="仿宋" w:cs="仿宋"/>
                <w:sz w:val="24"/>
                <w:szCs w:val="24"/>
              </w:rPr>
            </w:pPr>
            <w:r>
              <w:rPr>
                <w:rFonts w:hint="eastAsia" w:ascii="仿宋" w:hAnsi="仿宋" w:eastAsia="仿宋" w:cs="仿宋"/>
                <w:color w:val="000000"/>
                <w:sz w:val="24"/>
                <w:szCs w:val="24"/>
                <w:lang w:eastAsia="zh-CN" w:bidi="ar"/>
              </w:rPr>
              <w:t>能量密度</w:t>
            </w:r>
          </w:p>
        </w:tc>
        <w:tc>
          <w:tcPr>
            <w:tcW w:w="3636" w:type="dxa"/>
            <w:vAlign w:val="center"/>
          </w:tcPr>
          <w:p>
            <w:pPr>
              <w:pStyle w:val="11"/>
              <w:spacing w:before="63" w:line="271" w:lineRule="exact"/>
              <w:jc w:val="center"/>
              <w:rPr>
                <w:rFonts w:hint="eastAsia" w:ascii="仿宋" w:hAnsi="仿宋" w:eastAsia="仿宋" w:cs="仿宋"/>
                <w:sz w:val="24"/>
                <w:szCs w:val="24"/>
              </w:rPr>
            </w:pPr>
            <w:r>
              <w:rPr>
                <w:rFonts w:hint="eastAsia" w:ascii="仿宋" w:hAnsi="仿宋" w:eastAsia="仿宋" w:cs="仿宋"/>
                <w:color w:val="000000"/>
                <w:sz w:val="24"/>
                <w:szCs w:val="24"/>
                <w:lang w:eastAsia="zh-CN" w:bidi="ar"/>
              </w:rPr>
              <w:t>GB/T 22199.1-2017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15" w:type="dxa"/>
          </w:tcPr>
          <w:p>
            <w:pPr>
              <w:pStyle w:val="11"/>
              <w:spacing w:before="199" w:line="189" w:lineRule="auto"/>
              <w:ind w:left="309"/>
              <w:rPr>
                <w:rFonts w:hint="eastAsia" w:ascii="仿宋" w:hAnsi="仿宋" w:eastAsia="仿宋" w:cs="仿宋"/>
                <w:sz w:val="24"/>
                <w:szCs w:val="24"/>
                <w:lang w:eastAsia="zh-CN"/>
              </w:rPr>
            </w:pPr>
            <w:r>
              <w:rPr>
                <w:rFonts w:hint="eastAsia" w:ascii="仿宋" w:hAnsi="仿宋" w:eastAsia="仿宋" w:cs="仿宋"/>
                <w:sz w:val="24"/>
                <w:szCs w:val="24"/>
                <w:lang w:eastAsia="zh-CN"/>
              </w:rPr>
              <w:t>4</w:t>
            </w:r>
          </w:p>
        </w:tc>
        <w:tc>
          <w:tcPr>
            <w:tcW w:w="3945" w:type="dxa"/>
            <w:vAlign w:val="center"/>
          </w:tcPr>
          <w:p>
            <w:pPr>
              <w:rPr>
                <w:rFonts w:hint="eastAsia" w:ascii="仿宋" w:hAnsi="仿宋" w:eastAsia="仿宋" w:cs="仿宋"/>
                <w:sz w:val="24"/>
                <w:szCs w:val="24"/>
              </w:rPr>
            </w:pPr>
            <w:r>
              <w:rPr>
                <w:rFonts w:hint="eastAsia" w:ascii="仿宋" w:hAnsi="仿宋" w:eastAsia="仿宋" w:cs="仿宋"/>
                <w:color w:val="000000"/>
                <w:sz w:val="24"/>
                <w:szCs w:val="24"/>
                <w:lang w:eastAsia="zh-CN" w:bidi="ar"/>
              </w:rPr>
              <w:t>低温容量</w:t>
            </w:r>
          </w:p>
        </w:tc>
        <w:tc>
          <w:tcPr>
            <w:tcW w:w="3636" w:type="dxa"/>
            <w:vAlign w:val="center"/>
          </w:tcPr>
          <w:p>
            <w:pPr>
              <w:pStyle w:val="11"/>
              <w:spacing w:before="63" w:line="271" w:lineRule="exact"/>
              <w:jc w:val="center"/>
              <w:rPr>
                <w:rFonts w:hint="eastAsia" w:ascii="仿宋" w:hAnsi="仿宋" w:eastAsia="仿宋" w:cs="仿宋"/>
                <w:sz w:val="24"/>
                <w:szCs w:val="24"/>
              </w:rPr>
            </w:pPr>
            <w:r>
              <w:rPr>
                <w:rFonts w:hint="eastAsia" w:ascii="仿宋" w:hAnsi="仿宋" w:eastAsia="仿宋" w:cs="仿宋"/>
                <w:color w:val="000000"/>
                <w:sz w:val="24"/>
                <w:szCs w:val="24"/>
                <w:lang w:eastAsia="zh-CN" w:bidi="ar"/>
              </w:rPr>
              <w:t>GB/T 22199.1-2017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5" w:type="dxa"/>
          </w:tcPr>
          <w:p>
            <w:pPr>
              <w:pStyle w:val="11"/>
              <w:spacing w:before="202" w:line="189" w:lineRule="auto"/>
              <w:ind w:left="311"/>
              <w:rPr>
                <w:rFonts w:hint="eastAsia" w:ascii="仿宋" w:hAnsi="仿宋" w:eastAsia="仿宋" w:cs="仿宋"/>
                <w:sz w:val="24"/>
                <w:szCs w:val="24"/>
                <w:lang w:eastAsia="zh-CN"/>
              </w:rPr>
            </w:pPr>
            <w:r>
              <w:rPr>
                <w:rFonts w:hint="eastAsia" w:ascii="仿宋" w:hAnsi="仿宋" w:eastAsia="仿宋" w:cs="仿宋"/>
                <w:sz w:val="24"/>
                <w:szCs w:val="24"/>
                <w:lang w:eastAsia="zh-CN"/>
              </w:rPr>
              <w:t>5</w:t>
            </w:r>
          </w:p>
        </w:tc>
        <w:tc>
          <w:tcPr>
            <w:tcW w:w="3945" w:type="dxa"/>
            <w:vAlign w:val="top"/>
          </w:tcPr>
          <w:p>
            <w:pPr>
              <w:pStyle w:val="11"/>
              <w:spacing w:before="169" w:line="228" w:lineRule="auto"/>
              <w:jc w:val="left"/>
              <w:rPr>
                <w:rFonts w:hint="eastAsia" w:ascii="仿宋" w:hAnsi="仿宋" w:eastAsia="仿宋" w:cs="仿宋"/>
                <w:sz w:val="24"/>
                <w:szCs w:val="24"/>
              </w:rPr>
            </w:pPr>
            <w:r>
              <w:rPr>
                <w:rFonts w:hint="eastAsia" w:ascii="仿宋" w:hAnsi="仿宋" w:eastAsia="仿宋" w:cs="仿宋"/>
                <w:color w:val="000000"/>
                <w:sz w:val="24"/>
                <w:szCs w:val="24"/>
                <w:lang w:eastAsia="zh-CN" w:bidi="ar"/>
              </w:rPr>
              <w:t>快速充电能力</w:t>
            </w:r>
          </w:p>
        </w:tc>
        <w:tc>
          <w:tcPr>
            <w:tcW w:w="363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color w:val="000000"/>
                <w:sz w:val="24"/>
                <w:szCs w:val="24"/>
                <w:lang w:eastAsia="zh-CN" w:bidi="ar"/>
              </w:rPr>
              <w:t>GB/T 22199.1-2017</w:t>
            </w:r>
          </w:p>
        </w:tc>
      </w:tr>
    </w:tbl>
    <w:p>
      <w:pPr>
        <w:rPr>
          <w:rFonts w:hint="eastAsia" w:ascii="宋体" w:hAnsi="宋体" w:eastAsia="宋体" w:cs="宋体"/>
          <w:sz w:val="21"/>
          <w:szCs w:val="21"/>
          <w:lang w:eastAsia="zh-CN"/>
        </w:rPr>
      </w:pPr>
    </w:p>
    <w:p>
      <w:pPr>
        <w:rPr>
          <w:rFonts w:hint="eastAsia" w:ascii="宋体" w:hAnsi="宋体" w:eastAsia="宋体" w:cs="宋体"/>
          <w:sz w:val="21"/>
          <w:szCs w:val="21"/>
          <w:lang w:eastAsia="zh-CN"/>
        </w:rPr>
      </w:pPr>
    </w:p>
    <w:p>
      <w:pPr>
        <w:rPr>
          <w:rFonts w:hint="eastAsia" w:ascii="宋体" w:hAnsi="宋体" w:eastAsia="宋体" w:cs="宋体"/>
          <w:sz w:val="21"/>
          <w:szCs w:val="21"/>
          <w:lang w:eastAsia="zh-CN"/>
        </w:rPr>
      </w:pPr>
    </w:p>
    <w:p>
      <w:pPr>
        <w:rPr>
          <w:rFonts w:hint="eastAsia" w:ascii="宋体" w:hAnsi="宋体" w:eastAsia="宋体" w:cs="宋体"/>
          <w:sz w:val="21"/>
          <w:szCs w:val="21"/>
          <w:lang w:eastAsia="zh-CN"/>
        </w:rPr>
      </w:pPr>
    </w:p>
    <w:p>
      <w:pPr>
        <w:rPr>
          <w:rFonts w:hint="eastAsia" w:ascii="宋体" w:hAnsi="宋体" w:eastAsia="宋体" w:cs="宋体"/>
          <w:sz w:val="21"/>
          <w:szCs w:val="21"/>
          <w:lang w:eastAsia="zh-CN"/>
        </w:rPr>
      </w:pPr>
    </w:p>
    <w:p>
      <w:pPr>
        <w:pStyle w:val="13"/>
        <w:spacing w:before="156" w:after="156"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lang w:eastAsia="zh-CN"/>
        </w:rPr>
        <w:t>表</w:t>
      </w:r>
      <w:r>
        <w:rPr>
          <w:rFonts w:hint="eastAsia" w:asciiTheme="minorEastAsia" w:hAnsiTheme="minorEastAsia" w:eastAsiaTheme="minorEastAsia" w:cstheme="minorEastAsia"/>
          <w:b/>
          <w:color w:val="000000"/>
          <w:sz w:val="28"/>
          <w:szCs w:val="28"/>
          <w:lang w:val="en-US" w:eastAsia="zh-CN"/>
        </w:rPr>
        <w:t>2 电动自行车用阀控式铅酸蓄电池</w:t>
      </w:r>
      <w:r>
        <w:rPr>
          <w:rFonts w:hint="eastAsia" w:asciiTheme="minorEastAsia" w:hAnsiTheme="minorEastAsia" w:eastAsiaTheme="minorEastAsia" w:cstheme="minorEastAsia"/>
          <w:b/>
          <w:color w:val="000000"/>
          <w:sz w:val="28"/>
          <w:szCs w:val="28"/>
        </w:rPr>
        <w:t>检验项目</w:t>
      </w:r>
    </w:p>
    <w:p>
      <w:pPr>
        <w:spacing w:line="112" w:lineRule="exact"/>
        <w:rPr>
          <w:rFonts w:hint="eastAsia" w:asciiTheme="minorEastAsia" w:hAnsiTheme="minorEastAsia" w:eastAsiaTheme="minorEastAsia" w:cstheme="minorEastAsia"/>
          <w:sz w:val="21"/>
          <w:szCs w:val="21"/>
        </w:rPr>
      </w:pPr>
    </w:p>
    <w:tbl>
      <w:tblPr>
        <w:tblStyle w:val="10"/>
        <w:tblW w:w="8296" w:type="dxa"/>
        <w:tblInd w:w="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3945"/>
        <w:gridCol w:w="36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15" w:type="dxa"/>
          </w:tcPr>
          <w:p>
            <w:pPr>
              <w:spacing w:before="138" w:line="231" w:lineRule="auto"/>
              <w:ind w:left="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序号</w:t>
            </w:r>
          </w:p>
        </w:tc>
        <w:tc>
          <w:tcPr>
            <w:tcW w:w="3945" w:type="dxa"/>
          </w:tcPr>
          <w:p>
            <w:pPr>
              <w:spacing w:before="137" w:line="230" w:lineRule="auto"/>
              <w:ind w:left="16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检验项目</w:t>
            </w:r>
          </w:p>
        </w:tc>
        <w:tc>
          <w:tcPr>
            <w:tcW w:w="3636" w:type="dxa"/>
          </w:tcPr>
          <w:p>
            <w:pPr>
              <w:spacing w:before="137" w:line="229" w:lineRule="auto"/>
              <w:ind w:left="13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检验方法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5" w:type="dxa"/>
          </w:tcPr>
          <w:p>
            <w:pPr>
              <w:pStyle w:val="11"/>
              <w:spacing w:before="198" w:line="189" w:lineRule="auto"/>
              <w:ind w:left="326"/>
              <w:rPr>
                <w:rFonts w:hint="eastAsia" w:ascii="仿宋" w:hAnsi="仿宋" w:eastAsia="仿宋" w:cs="仿宋"/>
                <w:sz w:val="24"/>
                <w:szCs w:val="24"/>
                <w:lang w:eastAsia="zh-CN"/>
              </w:rPr>
            </w:pPr>
            <w:r>
              <w:rPr>
                <w:rFonts w:hint="eastAsia" w:ascii="仿宋" w:hAnsi="仿宋" w:eastAsia="仿宋" w:cs="仿宋"/>
                <w:sz w:val="24"/>
                <w:szCs w:val="24"/>
                <w:lang w:eastAsia="zh-CN"/>
              </w:rPr>
              <w:t>1</w:t>
            </w:r>
          </w:p>
        </w:tc>
        <w:tc>
          <w:tcPr>
            <w:tcW w:w="3945" w:type="dxa"/>
            <w:vAlign w:val="top"/>
          </w:tcPr>
          <w:p>
            <w:pPr>
              <w:pStyle w:val="11"/>
              <w:spacing w:before="165" w:line="228" w:lineRule="auto"/>
              <w:rPr>
                <w:rFonts w:hint="eastAsia" w:ascii="仿宋" w:hAnsi="仿宋" w:eastAsia="仿宋" w:cs="仿宋"/>
                <w:spacing w:val="9"/>
                <w:sz w:val="24"/>
                <w:szCs w:val="24"/>
                <w:lang w:eastAsia="zh-CN"/>
              </w:rPr>
            </w:pPr>
            <w:r>
              <w:rPr>
                <w:rFonts w:hint="eastAsia" w:ascii="仿宋" w:hAnsi="仿宋" w:eastAsia="仿宋" w:cs="仿宋"/>
                <w:spacing w:val="9"/>
                <w:sz w:val="24"/>
                <w:szCs w:val="24"/>
                <w:lang w:eastAsia="zh-CN"/>
              </w:rPr>
              <w:t>外形尺寸</w:t>
            </w:r>
          </w:p>
        </w:tc>
        <w:tc>
          <w:tcPr>
            <w:tcW w:w="3636" w:type="dxa"/>
            <w:vAlign w:val="center"/>
          </w:tcPr>
          <w:p>
            <w:pPr>
              <w:pStyle w:val="11"/>
              <w:spacing w:before="63" w:line="271" w:lineRule="exact"/>
              <w:jc w:val="center"/>
              <w:rPr>
                <w:rFonts w:hint="eastAsia" w:ascii="仿宋" w:hAnsi="仿宋" w:eastAsia="仿宋" w:cs="仿宋"/>
                <w:position w:val="7"/>
                <w:sz w:val="24"/>
                <w:szCs w:val="24"/>
                <w:lang w:val="en-US" w:eastAsia="zh-CN"/>
              </w:rPr>
            </w:pPr>
            <w:r>
              <w:rPr>
                <w:rFonts w:hint="eastAsia" w:ascii="仿宋" w:hAnsi="仿宋" w:eastAsia="仿宋" w:cs="仿宋"/>
                <w:position w:val="7"/>
                <w:sz w:val="24"/>
                <w:szCs w:val="24"/>
                <w:lang w:val="en-US" w:eastAsia="zh-CN"/>
              </w:rPr>
              <w:t>T/ZJXDC 001-2021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5" w:type="dxa"/>
          </w:tcPr>
          <w:p>
            <w:pPr>
              <w:pStyle w:val="11"/>
              <w:spacing w:before="198" w:line="189" w:lineRule="auto"/>
              <w:ind w:left="326"/>
              <w:rPr>
                <w:rFonts w:hint="eastAsia" w:ascii="仿宋" w:hAnsi="仿宋" w:eastAsia="仿宋" w:cs="仿宋"/>
                <w:sz w:val="24"/>
                <w:szCs w:val="24"/>
                <w:lang w:eastAsia="zh-CN"/>
              </w:rPr>
            </w:pPr>
            <w:r>
              <w:rPr>
                <w:rFonts w:hint="eastAsia" w:ascii="仿宋" w:hAnsi="仿宋" w:eastAsia="仿宋" w:cs="仿宋"/>
                <w:sz w:val="24"/>
                <w:szCs w:val="24"/>
                <w:lang w:eastAsia="zh-CN"/>
              </w:rPr>
              <w:t>2</w:t>
            </w:r>
          </w:p>
        </w:tc>
        <w:tc>
          <w:tcPr>
            <w:tcW w:w="3945" w:type="dxa"/>
            <w:vAlign w:val="top"/>
          </w:tcPr>
          <w:p>
            <w:pPr>
              <w:pStyle w:val="11"/>
              <w:spacing w:before="165" w:line="228"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外观</w:t>
            </w:r>
          </w:p>
        </w:tc>
        <w:tc>
          <w:tcPr>
            <w:tcW w:w="3636" w:type="dxa"/>
            <w:vAlign w:val="center"/>
          </w:tcPr>
          <w:p>
            <w:pPr>
              <w:pStyle w:val="11"/>
              <w:spacing w:before="63" w:line="271" w:lineRule="exact"/>
              <w:jc w:val="center"/>
              <w:rPr>
                <w:rFonts w:hint="eastAsia" w:ascii="仿宋" w:hAnsi="仿宋" w:eastAsia="仿宋" w:cs="仿宋"/>
                <w:sz w:val="24"/>
                <w:szCs w:val="24"/>
              </w:rPr>
            </w:pPr>
            <w:r>
              <w:rPr>
                <w:rFonts w:hint="eastAsia" w:ascii="仿宋" w:hAnsi="仿宋" w:eastAsia="仿宋" w:cs="仿宋"/>
                <w:position w:val="7"/>
                <w:sz w:val="24"/>
                <w:szCs w:val="24"/>
                <w:lang w:val="en-US" w:eastAsia="zh-CN"/>
              </w:rPr>
              <w:t>T/ZJXDC 001-2021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15" w:type="dxa"/>
          </w:tcPr>
          <w:p>
            <w:pPr>
              <w:pStyle w:val="11"/>
              <w:spacing w:before="200" w:line="189" w:lineRule="auto"/>
              <w:ind w:left="313"/>
              <w:rPr>
                <w:rFonts w:hint="eastAsia" w:ascii="仿宋" w:hAnsi="仿宋" w:eastAsia="仿宋" w:cs="仿宋"/>
                <w:sz w:val="24"/>
                <w:szCs w:val="24"/>
                <w:lang w:eastAsia="zh-CN"/>
              </w:rPr>
            </w:pPr>
            <w:r>
              <w:rPr>
                <w:rFonts w:hint="eastAsia" w:ascii="仿宋" w:hAnsi="仿宋" w:eastAsia="仿宋" w:cs="仿宋"/>
                <w:sz w:val="24"/>
                <w:szCs w:val="24"/>
                <w:lang w:eastAsia="zh-CN"/>
              </w:rPr>
              <w:t>3</w:t>
            </w:r>
          </w:p>
        </w:tc>
        <w:tc>
          <w:tcPr>
            <w:tcW w:w="3945" w:type="dxa"/>
            <w:shd w:val="clear" w:color="auto" w:fill="auto"/>
            <w:vAlign w:val="top"/>
          </w:tcPr>
          <w:p>
            <w:pPr>
              <w:pStyle w:val="11"/>
              <w:spacing w:before="165" w:line="228" w:lineRule="auto"/>
              <w:rPr>
                <w:rFonts w:hint="eastAsia" w:ascii="仿宋" w:hAnsi="仿宋" w:eastAsia="仿宋" w:cs="仿宋"/>
                <w:snapToGrid w:val="0"/>
                <w:color w:val="000000"/>
                <w:spacing w:val="9"/>
                <w:sz w:val="24"/>
                <w:szCs w:val="24"/>
                <w:lang w:val="en-US" w:eastAsia="zh-CN" w:bidi="ar-SA"/>
              </w:rPr>
            </w:pPr>
            <w:r>
              <w:rPr>
                <w:rFonts w:hint="eastAsia" w:ascii="仿宋" w:hAnsi="仿宋" w:eastAsia="仿宋" w:cs="仿宋"/>
                <w:color w:val="000000"/>
                <w:sz w:val="24"/>
                <w:szCs w:val="24"/>
                <w:lang w:eastAsia="zh-CN" w:bidi="ar"/>
              </w:rPr>
              <w:t>2hr容量</w:t>
            </w:r>
          </w:p>
        </w:tc>
        <w:tc>
          <w:tcPr>
            <w:tcW w:w="3636" w:type="dxa"/>
            <w:vAlign w:val="center"/>
          </w:tcPr>
          <w:p>
            <w:pPr>
              <w:pStyle w:val="11"/>
              <w:spacing w:before="63" w:line="271" w:lineRule="exact"/>
              <w:jc w:val="center"/>
              <w:rPr>
                <w:rFonts w:hint="eastAsia" w:ascii="仿宋" w:hAnsi="仿宋" w:eastAsia="仿宋" w:cs="仿宋"/>
                <w:sz w:val="24"/>
                <w:szCs w:val="24"/>
              </w:rPr>
            </w:pPr>
            <w:r>
              <w:rPr>
                <w:rFonts w:hint="eastAsia" w:ascii="仿宋" w:hAnsi="仿宋" w:eastAsia="仿宋" w:cs="仿宋"/>
                <w:position w:val="7"/>
                <w:sz w:val="24"/>
                <w:szCs w:val="24"/>
                <w:lang w:val="en-US" w:eastAsia="zh-CN"/>
              </w:rPr>
              <w:t>T/ZJXDC 001-2021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15" w:type="dxa"/>
          </w:tcPr>
          <w:p>
            <w:pPr>
              <w:pStyle w:val="11"/>
              <w:spacing w:before="199" w:line="189" w:lineRule="auto"/>
              <w:ind w:left="309"/>
              <w:rPr>
                <w:rFonts w:hint="eastAsia" w:ascii="仿宋" w:hAnsi="仿宋" w:eastAsia="仿宋" w:cs="仿宋"/>
                <w:sz w:val="24"/>
                <w:szCs w:val="24"/>
                <w:lang w:eastAsia="zh-CN"/>
              </w:rPr>
            </w:pPr>
            <w:r>
              <w:rPr>
                <w:rFonts w:hint="eastAsia" w:ascii="仿宋" w:hAnsi="仿宋" w:eastAsia="仿宋" w:cs="仿宋"/>
                <w:sz w:val="24"/>
                <w:szCs w:val="24"/>
                <w:lang w:eastAsia="zh-CN"/>
              </w:rPr>
              <w:t>4</w:t>
            </w:r>
          </w:p>
        </w:tc>
        <w:tc>
          <w:tcPr>
            <w:tcW w:w="3945" w:type="dxa"/>
            <w:shd w:val="clear" w:color="auto" w:fill="auto"/>
            <w:vAlign w:val="top"/>
          </w:tcPr>
          <w:p>
            <w:pPr>
              <w:pStyle w:val="11"/>
              <w:spacing w:before="165" w:line="228" w:lineRule="auto"/>
              <w:rPr>
                <w:rFonts w:hint="eastAsia" w:ascii="仿宋" w:hAnsi="仿宋" w:eastAsia="仿宋" w:cs="仿宋"/>
                <w:snapToGrid w:val="0"/>
                <w:color w:val="000000"/>
                <w:sz w:val="24"/>
                <w:szCs w:val="24"/>
                <w:lang w:val="en-US" w:eastAsia="en-US" w:bidi="ar-SA"/>
              </w:rPr>
            </w:pPr>
            <w:r>
              <w:rPr>
                <w:rFonts w:hint="eastAsia" w:ascii="仿宋" w:hAnsi="仿宋" w:eastAsia="仿宋" w:cs="仿宋"/>
                <w:color w:val="000000"/>
                <w:sz w:val="24"/>
                <w:szCs w:val="24"/>
                <w:lang w:eastAsia="zh-CN" w:bidi="ar"/>
              </w:rPr>
              <w:t>大电流放电</w:t>
            </w:r>
          </w:p>
        </w:tc>
        <w:tc>
          <w:tcPr>
            <w:tcW w:w="3636" w:type="dxa"/>
            <w:vAlign w:val="center"/>
          </w:tcPr>
          <w:p>
            <w:pPr>
              <w:pStyle w:val="11"/>
              <w:spacing w:before="63" w:line="271" w:lineRule="exact"/>
              <w:jc w:val="center"/>
              <w:rPr>
                <w:rFonts w:hint="eastAsia" w:ascii="仿宋" w:hAnsi="仿宋" w:eastAsia="仿宋" w:cs="仿宋"/>
                <w:sz w:val="24"/>
                <w:szCs w:val="24"/>
              </w:rPr>
            </w:pPr>
            <w:r>
              <w:rPr>
                <w:rFonts w:hint="eastAsia" w:ascii="仿宋" w:hAnsi="仿宋" w:eastAsia="仿宋" w:cs="仿宋"/>
                <w:position w:val="7"/>
                <w:sz w:val="24"/>
                <w:szCs w:val="24"/>
                <w:lang w:val="en-US" w:eastAsia="zh-CN"/>
              </w:rPr>
              <w:t>T/ZJXDC 001-2021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5" w:type="dxa"/>
          </w:tcPr>
          <w:p>
            <w:pPr>
              <w:pStyle w:val="11"/>
              <w:spacing w:before="202" w:line="189" w:lineRule="auto"/>
              <w:ind w:left="311"/>
              <w:rPr>
                <w:rFonts w:hint="eastAsia" w:ascii="仿宋" w:hAnsi="仿宋" w:eastAsia="仿宋" w:cs="仿宋"/>
                <w:sz w:val="24"/>
                <w:szCs w:val="24"/>
                <w:lang w:eastAsia="zh-CN"/>
              </w:rPr>
            </w:pPr>
            <w:r>
              <w:rPr>
                <w:rFonts w:hint="eastAsia" w:ascii="仿宋" w:hAnsi="仿宋" w:eastAsia="仿宋" w:cs="仿宋"/>
                <w:sz w:val="24"/>
                <w:szCs w:val="24"/>
                <w:lang w:eastAsia="zh-CN"/>
              </w:rPr>
              <w:t>5</w:t>
            </w:r>
          </w:p>
        </w:tc>
        <w:tc>
          <w:tcPr>
            <w:tcW w:w="3945" w:type="dxa"/>
            <w:vAlign w:val="top"/>
          </w:tcPr>
          <w:p>
            <w:pPr>
              <w:pStyle w:val="11"/>
              <w:spacing w:before="169" w:line="228" w:lineRule="auto"/>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重量比能量</w:t>
            </w:r>
          </w:p>
        </w:tc>
        <w:tc>
          <w:tcPr>
            <w:tcW w:w="363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position w:val="7"/>
                <w:sz w:val="24"/>
                <w:szCs w:val="24"/>
                <w:lang w:val="en-US" w:eastAsia="zh-CN"/>
              </w:rPr>
              <w:t>T/ZJXDC 001-2021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5" w:type="dxa"/>
          </w:tcPr>
          <w:p>
            <w:pPr>
              <w:pStyle w:val="11"/>
              <w:spacing w:before="202" w:line="189" w:lineRule="auto"/>
              <w:ind w:left="311"/>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3945" w:type="dxa"/>
            <w:vAlign w:val="top"/>
          </w:tcPr>
          <w:p>
            <w:pPr>
              <w:pStyle w:val="11"/>
              <w:spacing w:before="169" w:line="228" w:lineRule="auto"/>
              <w:jc w:val="left"/>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eastAsia="zh-CN" w:bidi="ar"/>
              </w:rPr>
              <w:t>快速充电能力</w:t>
            </w:r>
          </w:p>
        </w:tc>
        <w:tc>
          <w:tcPr>
            <w:tcW w:w="3636" w:type="dxa"/>
            <w:vAlign w:val="center"/>
          </w:tcPr>
          <w:p>
            <w:pPr>
              <w:spacing w:line="360" w:lineRule="auto"/>
              <w:jc w:val="center"/>
              <w:rPr>
                <w:rFonts w:hint="eastAsia" w:ascii="仿宋" w:hAnsi="仿宋" w:eastAsia="仿宋" w:cs="仿宋"/>
                <w:color w:val="000000"/>
                <w:sz w:val="24"/>
                <w:szCs w:val="24"/>
                <w:lang w:eastAsia="zh-CN" w:bidi="ar"/>
              </w:rPr>
            </w:pPr>
            <w:r>
              <w:rPr>
                <w:rFonts w:hint="eastAsia" w:ascii="仿宋" w:hAnsi="仿宋" w:eastAsia="仿宋" w:cs="仿宋"/>
                <w:position w:val="7"/>
                <w:sz w:val="24"/>
                <w:szCs w:val="24"/>
                <w:lang w:val="en-US" w:eastAsia="zh-CN"/>
              </w:rPr>
              <w:t>T/ZJXDC 001-2021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5" w:type="dxa"/>
          </w:tcPr>
          <w:p>
            <w:pPr>
              <w:pStyle w:val="11"/>
              <w:spacing w:before="202" w:line="189" w:lineRule="auto"/>
              <w:ind w:left="311"/>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3945" w:type="dxa"/>
            <w:vAlign w:val="top"/>
          </w:tcPr>
          <w:p>
            <w:pPr>
              <w:pStyle w:val="11"/>
              <w:spacing w:before="169" w:line="228" w:lineRule="auto"/>
              <w:jc w:val="left"/>
              <w:rPr>
                <w:rFonts w:hint="eastAsia"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过充电</w:t>
            </w:r>
          </w:p>
        </w:tc>
        <w:tc>
          <w:tcPr>
            <w:tcW w:w="3636" w:type="dxa"/>
            <w:vAlign w:val="center"/>
          </w:tcPr>
          <w:p>
            <w:pPr>
              <w:spacing w:line="360" w:lineRule="auto"/>
              <w:jc w:val="center"/>
              <w:rPr>
                <w:rFonts w:hint="eastAsia" w:ascii="仿宋" w:hAnsi="仿宋" w:eastAsia="仿宋" w:cs="仿宋"/>
                <w:color w:val="000000"/>
                <w:sz w:val="24"/>
                <w:szCs w:val="24"/>
                <w:lang w:eastAsia="zh-CN" w:bidi="ar"/>
              </w:rPr>
            </w:pPr>
            <w:r>
              <w:rPr>
                <w:rFonts w:hint="eastAsia" w:ascii="仿宋" w:hAnsi="仿宋" w:eastAsia="仿宋" w:cs="仿宋"/>
                <w:position w:val="7"/>
                <w:sz w:val="24"/>
                <w:szCs w:val="24"/>
                <w:lang w:val="en-US" w:eastAsia="zh-CN"/>
              </w:rPr>
              <w:t>T/ZJXDC 001-2021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5" w:type="dxa"/>
          </w:tcPr>
          <w:p>
            <w:pPr>
              <w:pStyle w:val="11"/>
              <w:spacing w:before="202" w:line="189" w:lineRule="auto"/>
              <w:ind w:left="311"/>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3945" w:type="dxa"/>
            <w:vAlign w:val="top"/>
          </w:tcPr>
          <w:p>
            <w:pPr>
              <w:pStyle w:val="11"/>
              <w:spacing w:before="169" w:line="228" w:lineRule="auto"/>
              <w:jc w:val="left"/>
              <w:rPr>
                <w:rFonts w:hint="eastAsia"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外部短路</w:t>
            </w:r>
          </w:p>
        </w:tc>
        <w:tc>
          <w:tcPr>
            <w:tcW w:w="3636" w:type="dxa"/>
            <w:vAlign w:val="center"/>
          </w:tcPr>
          <w:p>
            <w:pPr>
              <w:spacing w:line="360" w:lineRule="auto"/>
              <w:jc w:val="center"/>
              <w:rPr>
                <w:rFonts w:hint="eastAsia" w:ascii="仿宋" w:hAnsi="仿宋" w:eastAsia="仿宋" w:cs="仿宋"/>
                <w:color w:val="000000"/>
                <w:sz w:val="24"/>
                <w:szCs w:val="24"/>
                <w:lang w:eastAsia="zh-CN" w:bidi="ar"/>
              </w:rPr>
            </w:pPr>
            <w:r>
              <w:rPr>
                <w:rFonts w:hint="eastAsia" w:ascii="仿宋" w:hAnsi="仿宋" w:eastAsia="仿宋" w:cs="仿宋"/>
                <w:position w:val="7"/>
                <w:sz w:val="24"/>
                <w:szCs w:val="24"/>
                <w:lang w:val="en-US" w:eastAsia="zh-CN"/>
              </w:rPr>
              <w:t>T/ZJXDC 001-2021</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5" w:line="480" w:lineRule="auto"/>
        <w:ind w:right="132" w:rightChars="0" w:firstLine="460" w:firstLineChars="200"/>
        <w:textAlignment w:val="baseline"/>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执行企业标准、团体标准、地方标准的产品，检验项目参照上述内容执行。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5" w:line="480" w:lineRule="auto"/>
        <w:ind w:leftChars="200" w:right="132" w:rightChars="0"/>
        <w:textAlignment w:val="baseline"/>
        <w:rPr>
          <w:rFonts w:hint="default"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凡是注日期的文件，其随后所有的修改单（不包括勘误的内容）或修订版不适用本细则。凡是不注日期的文件，其最新版本适用于本细则。</w:t>
      </w:r>
    </w:p>
    <w:p>
      <w:pPr>
        <w:rPr>
          <w:rFonts w:hint="eastAsia" w:ascii="宋体" w:hAnsi="宋体" w:eastAsia="宋体" w:cs="宋体"/>
          <w:sz w:val="21"/>
          <w:szCs w:val="21"/>
          <w:lang w:eastAsia="zh-CN"/>
        </w:rPr>
      </w:pPr>
    </w:p>
    <w:p>
      <w:pPr>
        <w:pStyle w:val="3"/>
        <w:numPr>
          <w:ilvl w:val="0"/>
          <w:numId w:val="0"/>
        </w:numPr>
        <w:spacing w:before="1" w:line="360" w:lineRule="auto"/>
        <w:rPr>
          <w:rFonts w:hint="eastAsia" w:ascii="黑体" w:hAnsi="黑体" w:eastAsia="黑体" w:cs="黑体"/>
          <w:spacing w:val="5"/>
          <w:sz w:val="21"/>
          <w:szCs w:val="21"/>
        </w:rPr>
      </w:pPr>
      <w:r>
        <w:rPr>
          <w:rFonts w:hint="eastAsia" w:ascii="黑体" w:hAnsi="黑体" w:eastAsia="黑体" w:cs="黑体"/>
          <w:spacing w:val="5"/>
          <w:sz w:val="21"/>
          <w:szCs w:val="21"/>
          <w:lang w:val="en-US" w:eastAsia="zh-CN"/>
        </w:rPr>
        <w:t xml:space="preserve">5 </w:t>
      </w:r>
      <w:r>
        <w:rPr>
          <w:rFonts w:hint="eastAsia" w:ascii="黑体" w:hAnsi="黑体" w:eastAsia="黑体" w:cs="黑体"/>
          <w:spacing w:val="5"/>
          <w:sz w:val="21"/>
          <w:szCs w:val="21"/>
        </w:rPr>
        <w:t>判定规则</w:t>
      </w:r>
    </w:p>
    <w:p>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before="1" w:line="480" w:lineRule="auto"/>
        <w:ind w:firstLine="460"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10"/>
          <w:sz w:val="21"/>
          <w:szCs w:val="21"/>
        </w:rPr>
        <w:t>经检验，检验项目全部合格，判定为被抽查产品所检项</w:t>
      </w:r>
      <w:r>
        <w:rPr>
          <w:rFonts w:hint="eastAsia" w:ascii="宋体" w:hAnsi="宋体" w:eastAsia="宋体" w:cs="宋体"/>
          <w:spacing w:val="9"/>
          <w:sz w:val="21"/>
          <w:szCs w:val="21"/>
        </w:rPr>
        <w:t>目未发现不合格</w:t>
      </w:r>
      <w:r>
        <w:rPr>
          <w:rFonts w:hint="eastAsia" w:ascii="宋体" w:hAnsi="宋体" w:eastAsia="宋体" w:cs="宋体"/>
          <w:spacing w:val="9"/>
          <w:sz w:val="21"/>
          <w:szCs w:val="21"/>
          <w:lang w:eastAsia="zh-CN"/>
        </w:rPr>
        <w:t>。</w:t>
      </w:r>
    </w:p>
    <w:p>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before="1" w:line="480" w:lineRule="auto"/>
        <w:ind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检验项目中任一项或一项以上不合格，判定为被抽查产品不合格。</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7" w:line="480" w:lineRule="auto"/>
        <w:ind w:left="0" w:leftChars="0" w:right="132"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若被检产品明示的质量要求高于本细则中检验项目依据的</w:t>
      </w:r>
      <w:r>
        <w:rPr>
          <w:rFonts w:hint="eastAsia" w:ascii="宋体" w:hAnsi="宋体" w:eastAsia="宋体" w:cs="宋体"/>
          <w:spacing w:val="9"/>
          <w:sz w:val="21"/>
          <w:szCs w:val="21"/>
        </w:rPr>
        <w:t>标准要求时，应按被检产品</w:t>
      </w:r>
      <w:r>
        <w:rPr>
          <w:rFonts w:hint="eastAsia" w:ascii="宋体" w:hAnsi="宋体" w:eastAsia="宋体" w:cs="宋体"/>
          <w:spacing w:val="6"/>
          <w:sz w:val="21"/>
          <w:szCs w:val="21"/>
        </w:rPr>
        <w:t>明示的质量要求判定。</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5" w:line="480" w:lineRule="auto"/>
        <w:ind w:left="0" w:leftChars="0" w:right="132" w:firstLine="460" w:firstLineChars="200"/>
        <w:textAlignment w:val="baseline"/>
        <w:rPr>
          <w:rFonts w:hint="eastAsia" w:ascii="宋体" w:hAnsi="宋体" w:eastAsia="宋体" w:cs="宋体"/>
          <w:sz w:val="21"/>
          <w:szCs w:val="21"/>
          <w:lang w:eastAsia="zh-CN"/>
        </w:rPr>
      </w:pPr>
      <w:r>
        <w:rPr>
          <w:rFonts w:hint="eastAsia" w:ascii="宋体" w:hAnsi="宋体" w:eastAsia="宋体" w:cs="宋体"/>
          <w:spacing w:val="10"/>
          <w:sz w:val="21"/>
          <w:szCs w:val="21"/>
        </w:rPr>
        <w:t>若被检产品明示的质量要求低于本细则中检验项目依据的</w:t>
      </w:r>
      <w:r>
        <w:rPr>
          <w:rFonts w:hint="eastAsia" w:ascii="宋体" w:hAnsi="宋体" w:eastAsia="宋体" w:cs="宋体"/>
          <w:spacing w:val="9"/>
          <w:sz w:val="21"/>
          <w:szCs w:val="21"/>
        </w:rPr>
        <w:t>强制性标准要求时，应按照</w:t>
      </w:r>
      <w:r>
        <w:rPr>
          <w:rFonts w:hint="eastAsia" w:ascii="宋体" w:hAnsi="宋体" w:eastAsia="宋体" w:cs="宋体"/>
          <w:spacing w:val="7"/>
          <w:sz w:val="21"/>
          <w:szCs w:val="21"/>
        </w:rPr>
        <w:t>强制性标准要求判定。</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5" w:line="480" w:lineRule="auto"/>
        <w:ind w:left="0" w:leftChars="0" w:right="181"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若被检产品明示的质量要求低于或包含本细则中检验项目依据的推荐性标准要求时，</w:t>
      </w:r>
      <w:r>
        <w:rPr>
          <w:rFonts w:hint="eastAsia" w:ascii="宋体" w:hAnsi="宋体" w:eastAsia="宋体" w:cs="宋体"/>
          <w:spacing w:val="9"/>
          <w:sz w:val="21"/>
          <w:szCs w:val="21"/>
        </w:rPr>
        <w:t>应以被检产品明示的质量要求判定，但应在检验报告备注中进行说明。</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7" w:line="480" w:lineRule="auto"/>
        <w:ind w:left="0" w:leftChars="0" w:right="132"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若被检产品明示的质量要求缺少本细则中检验项目依据的</w:t>
      </w:r>
      <w:r>
        <w:rPr>
          <w:rFonts w:hint="eastAsia" w:ascii="宋体" w:hAnsi="宋体" w:eastAsia="宋体" w:cs="宋体"/>
          <w:spacing w:val="9"/>
          <w:sz w:val="21"/>
          <w:szCs w:val="21"/>
        </w:rPr>
        <w:t>强制性标准要求时，应按照</w:t>
      </w:r>
      <w:r>
        <w:rPr>
          <w:rFonts w:hint="eastAsia" w:ascii="宋体" w:hAnsi="宋体" w:eastAsia="宋体" w:cs="宋体"/>
          <w:spacing w:val="7"/>
          <w:sz w:val="21"/>
          <w:szCs w:val="21"/>
        </w:rPr>
        <w:t>强制性标准要求判定。</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2" w:line="480" w:lineRule="auto"/>
        <w:ind w:left="0" w:leftChars="0" w:right="132" w:firstLine="460" w:firstLineChars="200"/>
        <w:textAlignment w:val="baseline"/>
        <w:rPr>
          <w:rFonts w:hint="eastAsia" w:ascii="宋体" w:hAnsi="宋体" w:eastAsia="宋体" w:cs="宋体"/>
          <w:spacing w:val="8"/>
          <w:sz w:val="21"/>
          <w:szCs w:val="21"/>
        </w:rPr>
      </w:pPr>
      <w:r>
        <w:rPr>
          <w:rFonts w:hint="eastAsia" w:ascii="宋体" w:hAnsi="宋体" w:eastAsia="宋体" w:cs="宋体"/>
          <w:spacing w:val="10"/>
          <w:sz w:val="21"/>
          <w:szCs w:val="21"/>
        </w:rPr>
        <w:t>若被检产品明示的质量要求缺少本细则中检验项目依据的</w:t>
      </w:r>
      <w:r>
        <w:rPr>
          <w:rFonts w:hint="eastAsia" w:ascii="宋体" w:hAnsi="宋体" w:eastAsia="宋体" w:cs="宋体"/>
          <w:spacing w:val="9"/>
          <w:sz w:val="21"/>
          <w:szCs w:val="21"/>
        </w:rPr>
        <w:t>推荐性标准要求时，该项目</w:t>
      </w:r>
      <w:r>
        <w:rPr>
          <w:rFonts w:hint="eastAsia" w:ascii="宋体" w:hAnsi="宋体" w:eastAsia="宋体" w:cs="宋体"/>
          <w:spacing w:val="8"/>
          <w:sz w:val="21"/>
          <w:szCs w:val="21"/>
        </w:rPr>
        <w:t>不参与判定，但应在检验报告备注中进行说明。</w:t>
      </w:r>
    </w:p>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sz w:val="21"/>
          <w:szCs w:val="21"/>
          <w:lang w:eastAsia="zh-CN"/>
        </w:rPr>
      </w:pPr>
    </w:p>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黑体" w:hAnsi="黑体" w:eastAsia="黑体" w:cs="黑体"/>
          <w:sz w:val="21"/>
          <w:szCs w:val="21"/>
        </w:rPr>
      </w:pPr>
      <w:r>
        <w:rPr>
          <w:rFonts w:hint="eastAsia" w:ascii="黑体" w:hAnsi="黑体" w:eastAsia="黑体" w:cs="黑体"/>
          <w:sz w:val="21"/>
          <w:szCs w:val="21"/>
          <w:lang w:val="en-US" w:eastAsia="zh-CN"/>
        </w:rPr>
        <w:t xml:space="preserve">6 </w:t>
      </w:r>
      <w:r>
        <w:rPr>
          <w:rFonts w:hint="eastAsia" w:ascii="黑体" w:hAnsi="黑体" w:eastAsia="黑体" w:cs="黑体"/>
          <w:sz w:val="21"/>
          <w:szCs w:val="21"/>
        </w:rPr>
        <w:t>异议处理及复检</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被抽样人或者标称生产企业对检测结果有异议的，应当自收到检测结果确认书之日起15日内，向市场监管局提出书面复检申请。逾期未提出申请的，视为承认检测结果。被抽样人私自拆封、调换或者毁损备份样品的，视为放弃复检。</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对判定的不合格商品进行复检时，按以下方式进行： </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被抽样人应向市场监管局提出复检申请，检验单位在收到市场监管局《</w:t>
      </w:r>
      <w:r>
        <w:rPr>
          <w:rFonts w:hint="eastAsia" w:ascii="宋体" w:hAnsi="宋体" w:eastAsia="宋体" w:cs="宋体"/>
          <w:sz w:val="21"/>
          <w:szCs w:val="21"/>
          <w:lang w:eastAsia="zh-CN"/>
        </w:rPr>
        <w:t>监督抽查</w:t>
      </w:r>
      <w:r>
        <w:rPr>
          <w:rFonts w:hint="eastAsia" w:ascii="宋体" w:hAnsi="宋体" w:eastAsia="宋体" w:cs="宋体"/>
          <w:sz w:val="21"/>
          <w:szCs w:val="21"/>
        </w:rPr>
        <w:t>复检通知书》后，方可进行复检。</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 xml:space="preserve">对不合格项目复检时，可以在原样上进行的，应采用原样复检；不能在原样上进行的，采用备样复检。 </w:t>
      </w:r>
    </w:p>
    <w:p>
      <w:pPr>
        <w:keepNext w:val="0"/>
        <w:keepLines w:val="0"/>
        <w:pageBreakBefore w:val="0"/>
        <w:widowControl/>
        <w:kinsoku w:val="0"/>
        <w:wordWrap/>
        <w:overflowPunct/>
        <w:topLinePunct w:val="0"/>
        <w:autoSpaceDE w:val="0"/>
        <w:autoSpaceDN w:val="0"/>
        <w:bidi w:val="0"/>
        <w:adjustRightInd w:val="0"/>
        <w:snapToGrid w:val="0"/>
        <w:spacing w:afterLines="50" w:line="48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复检结论为最终结论。复检工作原则上由原检验单位承担，也可到更高一级的检验机构进行复检。复检结论表明样品合格的，复检费用由原检验单位承担。复检结论表明样品不合格的，复检费用由复检申请人承担。</w:t>
      </w:r>
    </w:p>
    <w:p>
      <w:pPr>
        <w:keepNext w:val="0"/>
        <w:keepLines w:val="0"/>
        <w:pageBreakBefore w:val="0"/>
        <w:widowControl/>
        <w:kinsoku w:val="0"/>
        <w:wordWrap/>
        <w:overflowPunct/>
        <w:topLinePunct w:val="0"/>
        <w:autoSpaceDE w:val="0"/>
        <w:autoSpaceDN w:val="0"/>
        <w:bidi w:val="0"/>
        <w:adjustRightInd w:val="0"/>
        <w:snapToGrid w:val="0"/>
        <w:spacing w:afterLines="50" w:line="480" w:lineRule="auto"/>
        <w:ind w:firstLine="420" w:firstLineChars="200"/>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afterLines="50" w:line="48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重庆市九龙坡区市场监督管理局</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992" w:firstLineChars="2400"/>
        <w:textAlignment w:val="baseline"/>
        <w:rPr>
          <w:rFonts w:hint="eastAsia" w:ascii="宋体" w:hAnsi="宋体" w:eastAsia="宋体" w:cs="宋体"/>
          <w:spacing w:val="-1"/>
          <w:position w:val="22"/>
          <w:sz w:val="21"/>
          <w:szCs w:val="21"/>
          <w:lang w:val="en-US" w:eastAsia="zh-CN"/>
        </w:rPr>
      </w:pPr>
      <w:r>
        <w:rPr>
          <w:rFonts w:hint="eastAsia" w:ascii="宋体" w:hAnsi="宋体" w:eastAsia="宋体" w:cs="宋体"/>
          <w:spacing w:val="-1"/>
          <w:position w:val="22"/>
          <w:sz w:val="21"/>
          <w:szCs w:val="21"/>
          <w:lang w:val="en-US" w:eastAsia="zh-CN"/>
        </w:rPr>
        <w:t>2024年12月18日</w:t>
      </w:r>
    </w:p>
    <w:sectPr>
      <w:footerReference r:id="rId3" w:type="default"/>
      <w:pgSz w:w="11906" w:h="16838"/>
      <w:pgMar w:top="1440" w:right="1701" w:bottom="1440"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4F7E3"/>
    <w:multiLevelType w:val="singleLevel"/>
    <w:tmpl w:val="2564F7E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jM2I0MWY2ZGJkN2NlZDNiMmQxM2ZiODAxNTcwOTQifQ=="/>
  </w:docVars>
  <w:rsids>
    <w:rsidRoot w:val="5C73558F"/>
    <w:rsid w:val="0003572A"/>
    <w:rsid w:val="00122CD0"/>
    <w:rsid w:val="002030A0"/>
    <w:rsid w:val="00214FD0"/>
    <w:rsid w:val="00430510"/>
    <w:rsid w:val="00483B1C"/>
    <w:rsid w:val="004B5584"/>
    <w:rsid w:val="004C7CCA"/>
    <w:rsid w:val="00510232"/>
    <w:rsid w:val="00565AAF"/>
    <w:rsid w:val="0062352E"/>
    <w:rsid w:val="006B56BA"/>
    <w:rsid w:val="009044F9"/>
    <w:rsid w:val="00B0303A"/>
    <w:rsid w:val="00C130D6"/>
    <w:rsid w:val="00D61D57"/>
    <w:rsid w:val="00D8246B"/>
    <w:rsid w:val="00DC4F77"/>
    <w:rsid w:val="00E235F9"/>
    <w:rsid w:val="00E305D4"/>
    <w:rsid w:val="00E31EE0"/>
    <w:rsid w:val="00EA256D"/>
    <w:rsid w:val="00F92DD6"/>
    <w:rsid w:val="04BA58E7"/>
    <w:rsid w:val="1A233900"/>
    <w:rsid w:val="1F677614"/>
    <w:rsid w:val="2B325584"/>
    <w:rsid w:val="3F0124AB"/>
    <w:rsid w:val="4E7B3DC6"/>
    <w:rsid w:val="4F911AB0"/>
    <w:rsid w:val="5218496D"/>
    <w:rsid w:val="58C70034"/>
    <w:rsid w:val="5C73558F"/>
    <w:rsid w:val="5FEF1CF6"/>
    <w:rsid w:val="669A0915"/>
    <w:rsid w:val="67633297"/>
    <w:rsid w:val="6DB72464"/>
    <w:rsid w:val="75F37DA7"/>
    <w:rsid w:val="777E32B8"/>
    <w:rsid w:val="77E008E4"/>
    <w:rsid w:val="799FF59D"/>
    <w:rsid w:val="7E8D4B56"/>
    <w:rsid w:val="EDF4B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spacing w:line="576" w:lineRule="auto"/>
      <w:outlineLvl w:val="0"/>
    </w:pPr>
    <w:rPr>
      <w:rFonts w:eastAsia="宋体" w:asciiTheme="minorHAnsi" w:hAnsiTheme="minorHAnsi"/>
      <w:b/>
      <w:kern w:val="44"/>
      <w:sz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黑体" w:hAnsi="黑体" w:eastAsia="黑体" w:cs="黑体"/>
      <w:sz w:val="20"/>
      <w:szCs w:val="20"/>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customStyle="1" w:styleId="8">
    <w:name w:val="公文格式"/>
    <w:basedOn w:val="1"/>
    <w:qFormat/>
    <w:uiPriority w:val="0"/>
    <w:rPr>
      <w:rFonts w:asciiTheme="minorHAnsi" w:hAnsiTheme="minorHAnsi"/>
      <w:sz w:val="44"/>
      <w:szCs w:val="44"/>
    </w:rPr>
  </w:style>
  <w:style w:type="paragraph" w:customStyle="1" w:styleId="9">
    <w:name w:val="文件题目"/>
    <w:basedOn w:val="1"/>
    <w:qFormat/>
    <w:uiPriority w:val="0"/>
    <w:pPr>
      <w:jc w:val="center"/>
    </w:pPr>
    <w:rPr>
      <w:rFonts w:hint="eastAsia" w:ascii="方正小标宋简体" w:hAnsi="方正小标宋简体" w:eastAsia="方正小标宋简体" w:cs="方正小标宋简体"/>
      <w:sz w:val="44"/>
      <w:szCs w:val="44"/>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0"/>
      <w:szCs w:val="20"/>
    </w:rPr>
  </w:style>
  <w:style w:type="paragraph" w:styleId="12">
    <w:name w:val="List Paragraph"/>
    <w:basedOn w:val="1"/>
    <w:unhideWhenUsed/>
    <w:qFormat/>
    <w:uiPriority w:val="99"/>
    <w:pPr>
      <w:ind w:firstLine="420" w:firstLineChars="200"/>
    </w:pPr>
  </w:style>
  <w:style w:type="paragraph" w:customStyle="1" w:styleId="13">
    <w:name w:val="正文表标题"/>
    <w:next w:val="1"/>
    <w:qFormat/>
    <w:uiPriority w:val="99"/>
    <w:pPr>
      <w:tabs>
        <w:tab w:val="left" w:pos="360"/>
      </w:tabs>
      <w:spacing w:beforeLines="50" w:afterLines="50"/>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996</Words>
  <Characters>1077</Characters>
  <Lines>12</Lines>
  <Paragraphs>3</Paragraphs>
  <TotalTime>13</TotalTime>
  <ScaleCrop>false</ScaleCrop>
  <LinksUpToDate>false</LinksUpToDate>
  <CharactersWithSpaces>1138</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2024-09-20T23:12:00Z</dcterms:created>
  <dc:creator>陈思宇</dc:creator>
  <cp:lastModifiedBy>scjgj</cp:lastModifiedBy>
  <dcterms:modified xsi:type="dcterms:W3CDTF">2024-12-16T14:19:26Z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79E1ADC5F1F1462B849F088B63C821B2_13</vt:lpwstr>
  </property>
</Properties>
</file>