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重庆市胶水产品质量监督抽查实施细则</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在企业的待销产品中随机抽取有产品质量检验合格证明或者以其他形式表明合格的、近期生产的产品。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hint="eastAsia" w:ascii="宋体" w:hAnsi="宋体"/>
          <w:szCs w:val="21"/>
        </w:rPr>
      </w:pPr>
      <w:r>
        <w:rPr>
          <w:rFonts w:hint="eastAsia" w:ascii="宋体" w:hAnsi="宋体"/>
          <w:szCs w:val="21"/>
        </w:rPr>
        <w:t>固体胶：每批次产品抽取样品20支(以20g/支计)，其中10支作为检验样品，10支作为备用样品。</w:t>
      </w:r>
    </w:p>
    <w:p>
      <w:pPr>
        <w:snapToGrid w:val="0"/>
        <w:spacing w:line="440" w:lineRule="exact"/>
        <w:ind w:firstLine="420" w:firstLineChars="200"/>
        <w:rPr>
          <w:rFonts w:ascii="宋体" w:hAnsi="宋体"/>
          <w:szCs w:val="21"/>
        </w:rPr>
      </w:pPr>
      <w:r>
        <w:rPr>
          <w:rFonts w:ascii="宋体" w:hAnsi="宋体"/>
          <w:szCs w:val="21"/>
        </w:rPr>
        <w:t>办公用胶水</w:t>
      </w:r>
      <w:r>
        <w:rPr>
          <w:rFonts w:hint="eastAsia" w:ascii="宋体" w:hAnsi="宋体"/>
          <w:szCs w:val="21"/>
        </w:rPr>
        <w:t>：每批次产品抽取样品20支(以100ml/支计)，其中10支作为检验样品，10支作为备用样品。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105" w:firstLineChars="50"/>
        <w:rPr>
          <w:rFonts w:ascii="宋体" w:hAnsi="宋体"/>
          <w:color w:val="000000"/>
          <w:szCs w:val="21"/>
        </w:rPr>
      </w:pPr>
      <w:r>
        <w:rPr>
          <w:rFonts w:hint="eastAsia" w:ascii="宋体" w:hAnsi="宋体"/>
          <w:color w:val="000000"/>
          <w:szCs w:val="21"/>
        </w:rPr>
        <w:t>检验项目和试验方法见表1。</w:t>
      </w:r>
    </w:p>
    <w:p>
      <w:pPr>
        <w:snapToGrid w:val="0"/>
        <w:spacing w:line="440" w:lineRule="exact"/>
        <w:jc w:val="center"/>
        <w:rPr>
          <w:rFonts w:ascii="宋体" w:hAnsi="宋体"/>
          <w:color w:val="000000"/>
          <w:szCs w:val="21"/>
        </w:rPr>
      </w:pPr>
      <w:r>
        <w:rPr>
          <w:rFonts w:hint="eastAsia" w:ascii="宋体" w:hAnsi="宋体"/>
          <w:color w:val="000000"/>
          <w:szCs w:val="21"/>
        </w:rPr>
        <w:t>表1 检验项目</w:t>
      </w:r>
    </w:p>
    <w:tbl>
      <w:tblPr>
        <w:tblStyle w:val="6"/>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559"/>
        <w:gridCol w:w="1843"/>
        <w:gridCol w:w="2552"/>
        <w:gridCol w:w="2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1559" w:type="dxa"/>
          </w:tcPr>
          <w:p>
            <w:pPr>
              <w:snapToGrid w:val="0"/>
              <w:spacing w:line="440" w:lineRule="exact"/>
              <w:jc w:val="center"/>
              <w:rPr>
                <w:rFonts w:ascii="宋体" w:hAnsi="宋体"/>
                <w:color w:val="000000"/>
                <w:szCs w:val="21"/>
              </w:rPr>
            </w:pPr>
            <w:r>
              <w:rPr>
                <w:rFonts w:ascii="宋体" w:hAnsi="宋体"/>
                <w:color w:val="000000"/>
                <w:szCs w:val="21"/>
              </w:rPr>
              <w:t>产品名称</w:t>
            </w:r>
          </w:p>
        </w:tc>
        <w:tc>
          <w:tcPr>
            <w:tcW w:w="1843" w:type="dxa"/>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2552" w:type="dxa"/>
          </w:tcPr>
          <w:p>
            <w:pPr>
              <w:snapToGrid w:val="0"/>
              <w:spacing w:line="440" w:lineRule="exact"/>
              <w:jc w:val="center"/>
              <w:rPr>
                <w:rFonts w:ascii="宋体" w:hAnsi="宋体"/>
                <w:color w:val="000000"/>
                <w:szCs w:val="21"/>
              </w:rPr>
            </w:pPr>
            <w:r>
              <w:rPr>
                <w:rFonts w:hint="eastAsia" w:ascii="宋体" w:hAnsi="宋体"/>
                <w:color w:val="000000"/>
                <w:szCs w:val="21"/>
              </w:rPr>
              <w:t>判定依据</w:t>
            </w:r>
          </w:p>
        </w:tc>
        <w:tc>
          <w:tcPr>
            <w:tcW w:w="2402" w:type="dxa"/>
          </w:tcPr>
          <w:p>
            <w:pPr>
              <w:snapToGrid w:val="0"/>
              <w:spacing w:line="440" w:lineRule="exact"/>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1</w:t>
            </w:r>
          </w:p>
        </w:tc>
        <w:tc>
          <w:tcPr>
            <w:tcW w:w="1559" w:type="dxa"/>
            <w:vMerge w:val="restart"/>
            <w:vAlign w:val="center"/>
          </w:tcPr>
          <w:p>
            <w:pPr>
              <w:snapToGrid w:val="0"/>
              <w:spacing w:line="440" w:lineRule="exact"/>
              <w:jc w:val="center"/>
              <w:rPr>
                <w:rFonts w:ascii="宋体" w:hAnsi="宋体"/>
                <w:szCs w:val="21"/>
              </w:rPr>
            </w:pPr>
            <w:r>
              <w:rPr>
                <w:rFonts w:ascii="宋体" w:hAnsi="宋体"/>
                <w:szCs w:val="21"/>
              </w:rPr>
              <w:t>固体胶</w:t>
            </w:r>
          </w:p>
        </w:tc>
        <w:tc>
          <w:tcPr>
            <w:tcW w:w="1843" w:type="dxa"/>
            <w:vAlign w:val="center"/>
          </w:tcPr>
          <w:p>
            <w:pPr>
              <w:snapToGrid w:val="0"/>
              <w:spacing w:line="440" w:lineRule="exact"/>
              <w:jc w:val="center"/>
              <w:rPr>
                <w:rFonts w:ascii="宋体" w:hAnsi="宋体"/>
                <w:szCs w:val="21"/>
              </w:rPr>
            </w:pPr>
            <w:r>
              <w:rPr>
                <w:rFonts w:ascii="宋体" w:hAnsi="宋体"/>
                <w:szCs w:val="21"/>
              </w:rPr>
              <w:t>粘接性</w:t>
            </w:r>
          </w:p>
        </w:tc>
        <w:tc>
          <w:tcPr>
            <w:tcW w:w="255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QB/T 2857-2007</w:t>
            </w:r>
          </w:p>
        </w:tc>
        <w:tc>
          <w:tcPr>
            <w:tcW w:w="24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QB/T 2857-2007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2</w:t>
            </w:r>
          </w:p>
        </w:tc>
        <w:tc>
          <w:tcPr>
            <w:tcW w:w="1559" w:type="dxa"/>
            <w:vMerge w:val="continue"/>
            <w:vAlign w:val="center"/>
          </w:tcPr>
          <w:p>
            <w:pPr>
              <w:snapToGrid w:val="0"/>
              <w:spacing w:line="440" w:lineRule="exact"/>
              <w:jc w:val="center"/>
              <w:rPr>
                <w:rFonts w:ascii="宋体" w:hAnsi="宋体"/>
                <w:szCs w:val="21"/>
              </w:rPr>
            </w:pPr>
          </w:p>
        </w:tc>
        <w:tc>
          <w:tcPr>
            <w:tcW w:w="1843" w:type="dxa"/>
            <w:vAlign w:val="center"/>
          </w:tcPr>
          <w:p>
            <w:pPr>
              <w:snapToGrid w:val="0"/>
              <w:spacing w:line="440" w:lineRule="exact"/>
              <w:jc w:val="center"/>
              <w:rPr>
                <w:rFonts w:ascii="宋体" w:hAnsi="宋体"/>
                <w:szCs w:val="21"/>
              </w:rPr>
            </w:pPr>
            <w:r>
              <w:rPr>
                <w:rFonts w:ascii="宋体" w:hAnsi="宋体"/>
                <w:szCs w:val="21"/>
              </w:rPr>
              <w:t>不挥发物含量</w:t>
            </w:r>
          </w:p>
        </w:tc>
        <w:tc>
          <w:tcPr>
            <w:tcW w:w="255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QB/T 2857-2007</w:t>
            </w:r>
          </w:p>
        </w:tc>
        <w:tc>
          <w:tcPr>
            <w:tcW w:w="24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QB/T 2857-2007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3</w:t>
            </w:r>
          </w:p>
        </w:tc>
        <w:tc>
          <w:tcPr>
            <w:tcW w:w="1559" w:type="dxa"/>
            <w:vMerge w:val="continue"/>
            <w:vAlign w:val="center"/>
          </w:tcPr>
          <w:p>
            <w:pPr>
              <w:snapToGrid w:val="0"/>
              <w:spacing w:line="440" w:lineRule="exact"/>
              <w:jc w:val="center"/>
              <w:rPr>
                <w:rFonts w:ascii="宋体" w:hAnsi="宋体"/>
                <w:szCs w:val="21"/>
              </w:rPr>
            </w:pPr>
          </w:p>
        </w:tc>
        <w:tc>
          <w:tcPr>
            <w:tcW w:w="1843" w:type="dxa"/>
            <w:vAlign w:val="center"/>
          </w:tcPr>
          <w:p>
            <w:pPr>
              <w:snapToGrid w:val="0"/>
              <w:spacing w:line="440" w:lineRule="exact"/>
              <w:jc w:val="center"/>
              <w:rPr>
                <w:rFonts w:ascii="宋体" w:hAnsi="宋体"/>
                <w:szCs w:val="21"/>
              </w:rPr>
            </w:pPr>
            <w:r>
              <w:rPr>
                <w:rFonts w:ascii="宋体" w:hAnsi="宋体"/>
                <w:szCs w:val="21"/>
              </w:rPr>
              <w:t>游离甲醛</w:t>
            </w:r>
          </w:p>
        </w:tc>
        <w:tc>
          <w:tcPr>
            <w:tcW w:w="255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c>
          <w:tcPr>
            <w:tcW w:w="24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4</w:t>
            </w:r>
          </w:p>
        </w:tc>
        <w:tc>
          <w:tcPr>
            <w:tcW w:w="1559" w:type="dxa"/>
            <w:vMerge w:val="continue"/>
            <w:vAlign w:val="center"/>
          </w:tcPr>
          <w:p>
            <w:pPr>
              <w:snapToGrid w:val="0"/>
              <w:spacing w:line="440" w:lineRule="exact"/>
              <w:jc w:val="center"/>
              <w:rPr>
                <w:rFonts w:ascii="宋体" w:hAnsi="宋体"/>
                <w:szCs w:val="21"/>
              </w:rPr>
            </w:pPr>
          </w:p>
        </w:tc>
        <w:tc>
          <w:tcPr>
            <w:tcW w:w="1843" w:type="dxa"/>
            <w:vAlign w:val="center"/>
          </w:tcPr>
          <w:p>
            <w:pPr>
              <w:snapToGrid w:val="0"/>
              <w:spacing w:line="440" w:lineRule="exact"/>
              <w:jc w:val="center"/>
              <w:rPr>
                <w:rFonts w:ascii="宋体" w:hAnsi="宋体"/>
                <w:szCs w:val="21"/>
              </w:rPr>
            </w:pPr>
            <w:r>
              <w:rPr>
                <w:rFonts w:ascii="宋体" w:hAnsi="宋体"/>
                <w:szCs w:val="21"/>
              </w:rPr>
              <w:t>苯</w:t>
            </w:r>
          </w:p>
        </w:tc>
        <w:tc>
          <w:tcPr>
            <w:tcW w:w="255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c>
          <w:tcPr>
            <w:tcW w:w="24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5</w:t>
            </w:r>
          </w:p>
        </w:tc>
        <w:tc>
          <w:tcPr>
            <w:tcW w:w="1559" w:type="dxa"/>
            <w:vMerge w:val="continue"/>
            <w:vAlign w:val="center"/>
          </w:tcPr>
          <w:p>
            <w:pPr>
              <w:snapToGrid w:val="0"/>
              <w:spacing w:line="440" w:lineRule="exact"/>
              <w:jc w:val="center"/>
              <w:rPr>
                <w:rFonts w:ascii="宋体" w:hAnsi="宋体"/>
                <w:color w:val="000000"/>
                <w:szCs w:val="21"/>
              </w:rPr>
            </w:pPr>
          </w:p>
        </w:tc>
        <w:tc>
          <w:tcPr>
            <w:tcW w:w="1843" w:type="dxa"/>
            <w:vAlign w:val="center"/>
          </w:tcPr>
          <w:p>
            <w:pPr>
              <w:snapToGrid w:val="0"/>
              <w:spacing w:line="440" w:lineRule="exact"/>
              <w:jc w:val="center"/>
              <w:rPr>
                <w:rFonts w:ascii="宋体" w:hAnsi="宋体"/>
                <w:color w:val="000000"/>
                <w:szCs w:val="21"/>
              </w:rPr>
            </w:pPr>
            <w:r>
              <w:rPr>
                <w:rFonts w:ascii="宋体" w:hAnsi="宋体"/>
                <w:color w:val="000000"/>
                <w:szCs w:val="21"/>
              </w:rPr>
              <w:t>甲苯</w:t>
            </w:r>
            <w:r>
              <w:rPr>
                <w:rFonts w:hint="eastAsia" w:ascii="宋体" w:hAnsi="宋体"/>
                <w:color w:val="000000"/>
                <w:szCs w:val="21"/>
              </w:rPr>
              <w:t>+</w:t>
            </w:r>
            <w:r>
              <w:rPr>
                <w:rFonts w:ascii="宋体" w:hAnsi="宋体"/>
                <w:color w:val="000000"/>
                <w:szCs w:val="21"/>
              </w:rPr>
              <w:t>二甲苯</w:t>
            </w:r>
          </w:p>
        </w:tc>
        <w:tc>
          <w:tcPr>
            <w:tcW w:w="255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c>
          <w:tcPr>
            <w:tcW w:w="24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6</w:t>
            </w:r>
          </w:p>
        </w:tc>
        <w:tc>
          <w:tcPr>
            <w:tcW w:w="1559" w:type="dxa"/>
            <w:vMerge w:val="continue"/>
            <w:vAlign w:val="center"/>
          </w:tcPr>
          <w:p>
            <w:pPr>
              <w:snapToGrid w:val="0"/>
              <w:spacing w:line="440" w:lineRule="exact"/>
              <w:jc w:val="center"/>
              <w:rPr>
                <w:rFonts w:ascii="宋体" w:hAnsi="宋体"/>
                <w:color w:val="000000"/>
                <w:szCs w:val="21"/>
              </w:rPr>
            </w:pPr>
          </w:p>
        </w:tc>
        <w:tc>
          <w:tcPr>
            <w:tcW w:w="1843" w:type="dxa"/>
            <w:vAlign w:val="center"/>
          </w:tcPr>
          <w:p>
            <w:pPr>
              <w:snapToGrid w:val="0"/>
              <w:spacing w:line="440" w:lineRule="exact"/>
              <w:jc w:val="center"/>
              <w:rPr>
                <w:rFonts w:ascii="宋体" w:hAnsi="宋体"/>
                <w:color w:val="000000"/>
                <w:szCs w:val="21"/>
              </w:rPr>
            </w:pPr>
            <w:r>
              <w:rPr>
                <w:rFonts w:ascii="宋体" w:hAnsi="宋体"/>
                <w:color w:val="000000"/>
                <w:szCs w:val="21"/>
              </w:rPr>
              <w:t>总挥发性有机物</w:t>
            </w:r>
          </w:p>
        </w:tc>
        <w:tc>
          <w:tcPr>
            <w:tcW w:w="255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c>
          <w:tcPr>
            <w:tcW w:w="24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hint="eastAsia" w:ascii="宋体" w:hAnsi="宋体"/>
                <w:color w:val="000000"/>
                <w:szCs w:val="21"/>
              </w:rPr>
            </w:pPr>
            <w:r>
              <w:rPr>
                <w:rFonts w:hint="eastAsia" w:ascii="宋体" w:hAnsi="宋体"/>
                <w:color w:val="000000"/>
                <w:szCs w:val="21"/>
              </w:rPr>
              <w:t>7</w:t>
            </w:r>
          </w:p>
        </w:tc>
        <w:tc>
          <w:tcPr>
            <w:tcW w:w="1559" w:type="dxa"/>
            <w:vMerge w:val="restart"/>
            <w:vAlign w:val="center"/>
          </w:tcPr>
          <w:p>
            <w:pPr>
              <w:snapToGrid w:val="0"/>
              <w:spacing w:line="440" w:lineRule="exact"/>
              <w:jc w:val="center"/>
              <w:rPr>
                <w:rFonts w:ascii="宋体" w:hAnsi="宋体"/>
                <w:color w:val="000000"/>
                <w:szCs w:val="21"/>
              </w:rPr>
            </w:pPr>
            <w:r>
              <w:rPr>
                <w:rFonts w:hint="eastAsia" w:ascii="宋体" w:hAnsi="宋体"/>
                <w:color w:val="000000"/>
                <w:szCs w:val="21"/>
              </w:rPr>
              <w:t>办公用胶水</w:t>
            </w:r>
          </w:p>
        </w:tc>
        <w:tc>
          <w:tcPr>
            <w:tcW w:w="18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黏度</w:t>
            </w:r>
          </w:p>
        </w:tc>
        <w:tc>
          <w:tcPr>
            <w:tcW w:w="2552" w:type="dxa"/>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QB/T 1961-2011</w:t>
            </w:r>
          </w:p>
        </w:tc>
        <w:tc>
          <w:tcPr>
            <w:tcW w:w="2402" w:type="dxa"/>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QB/T 1961-2011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hint="eastAsia" w:ascii="宋体" w:hAnsi="宋体"/>
                <w:color w:val="000000"/>
                <w:szCs w:val="21"/>
              </w:rPr>
            </w:pPr>
            <w:r>
              <w:rPr>
                <w:rFonts w:hint="eastAsia" w:ascii="宋体" w:hAnsi="宋体"/>
                <w:color w:val="000000"/>
                <w:szCs w:val="21"/>
              </w:rPr>
              <w:t>8</w:t>
            </w:r>
          </w:p>
        </w:tc>
        <w:tc>
          <w:tcPr>
            <w:tcW w:w="1559" w:type="dxa"/>
            <w:vMerge w:val="continue"/>
            <w:vAlign w:val="center"/>
          </w:tcPr>
          <w:p>
            <w:pPr>
              <w:snapToGrid w:val="0"/>
              <w:spacing w:line="440" w:lineRule="exact"/>
              <w:jc w:val="center"/>
              <w:rPr>
                <w:rFonts w:ascii="宋体" w:hAnsi="宋体"/>
                <w:color w:val="000000"/>
                <w:szCs w:val="21"/>
              </w:rPr>
            </w:pPr>
          </w:p>
        </w:tc>
        <w:tc>
          <w:tcPr>
            <w:tcW w:w="1843" w:type="dxa"/>
            <w:vAlign w:val="center"/>
          </w:tcPr>
          <w:p>
            <w:pPr>
              <w:snapToGrid w:val="0"/>
              <w:spacing w:line="440" w:lineRule="exact"/>
              <w:jc w:val="center"/>
              <w:rPr>
                <w:rFonts w:ascii="宋体" w:hAnsi="宋体"/>
                <w:color w:val="000000"/>
                <w:szCs w:val="21"/>
              </w:rPr>
            </w:pPr>
            <w:r>
              <w:rPr>
                <w:rFonts w:ascii="宋体" w:hAnsi="宋体"/>
                <w:color w:val="000000"/>
                <w:szCs w:val="21"/>
              </w:rPr>
              <w:t>不挥发物含量</w:t>
            </w:r>
          </w:p>
        </w:tc>
        <w:tc>
          <w:tcPr>
            <w:tcW w:w="2552" w:type="dxa"/>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QB/T 1961-2011</w:t>
            </w:r>
          </w:p>
        </w:tc>
        <w:tc>
          <w:tcPr>
            <w:tcW w:w="2402" w:type="dxa"/>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GB/T 2793-1995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hint="eastAsia" w:ascii="宋体" w:hAnsi="宋体"/>
                <w:color w:val="000000"/>
                <w:szCs w:val="21"/>
              </w:rPr>
            </w:pPr>
            <w:r>
              <w:rPr>
                <w:rFonts w:hint="eastAsia" w:ascii="宋体" w:hAnsi="宋体"/>
                <w:color w:val="000000"/>
                <w:szCs w:val="21"/>
              </w:rPr>
              <w:t>9</w:t>
            </w:r>
          </w:p>
        </w:tc>
        <w:tc>
          <w:tcPr>
            <w:tcW w:w="1559" w:type="dxa"/>
            <w:vMerge w:val="continue"/>
            <w:vAlign w:val="center"/>
          </w:tcPr>
          <w:p>
            <w:pPr>
              <w:snapToGrid w:val="0"/>
              <w:spacing w:line="440" w:lineRule="exact"/>
              <w:jc w:val="center"/>
              <w:rPr>
                <w:rFonts w:ascii="宋体" w:hAnsi="宋体"/>
                <w:color w:val="000000"/>
                <w:szCs w:val="21"/>
              </w:rPr>
            </w:pPr>
          </w:p>
        </w:tc>
        <w:tc>
          <w:tcPr>
            <w:tcW w:w="1843" w:type="dxa"/>
            <w:vAlign w:val="center"/>
          </w:tcPr>
          <w:p>
            <w:pPr>
              <w:snapToGrid w:val="0"/>
              <w:spacing w:line="440" w:lineRule="exact"/>
              <w:jc w:val="center"/>
              <w:rPr>
                <w:rFonts w:ascii="宋体" w:hAnsi="宋体"/>
                <w:color w:val="000000"/>
                <w:szCs w:val="21"/>
              </w:rPr>
            </w:pPr>
            <w:r>
              <w:rPr>
                <w:rFonts w:hint="eastAsia" w:ascii="宋体" w:hAnsi="宋体"/>
                <w:szCs w:val="21"/>
              </w:rPr>
              <w:t>游离甲醛</w:t>
            </w:r>
          </w:p>
        </w:tc>
        <w:tc>
          <w:tcPr>
            <w:tcW w:w="255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c>
          <w:tcPr>
            <w:tcW w:w="24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hint="eastAsia" w:ascii="宋体" w:hAnsi="宋体"/>
                <w:color w:val="000000"/>
                <w:szCs w:val="21"/>
              </w:rPr>
            </w:pPr>
            <w:r>
              <w:rPr>
                <w:rFonts w:hint="eastAsia" w:ascii="宋体" w:hAnsi="宋体"/>
                <w:color w:val="000000"/>
                <w:szCs w:val="21"/>
              </w:rPr>
              <w:t>10</w:t>
            </w:r>
          </w:p>
        </w:tc>
        <w:tc>
          <w:tcPr>
            <w:tcW w:w="1559" w:type="dxa"/>
            <w:vMerge w:val="continue"/>
            <w:vAlign w:val="center"/>
          </w:tcPr>
          <w:p>
            <w:pPr>
              <w:snapToGrid w:val="0"/>
              <w:spacing w:line="440" w:lineRule="exact"/>
              <w:jc w:val="center"/>
              <w:rPr>
                <w:rFonts w:ascii="宋体" w:hAnsi="宋体"/>
                <w:color w:val="000000"/>
                <w:szCs w:val="21"/>
              </w:rPr>
            </w:pPr>
          </w:p>
        </w:tc>
        <w:tc>
          <w:tcPr>
            <w:tcW w:w="1843" w:type="dxa"/>
            <w:vAlign w:val="center"/>
          </w:tcPr>
          <w:p>
            <w:pPr>
              <w:snapToGrid w:val="0"/>
              <w:spacing w:line="440" w:lineRule="exact"/>
              <w:jc w:val="center"/>
              <w:rPr>
                <w:rFonts w:ascii="宋体" w:hAnsi="宋体"/>
                <w:color w:val="000000"/>
                <w:szCs w:val="21"/>
              </w:rPr>
            </w:pPr>
            <w:r>
              <w:rPr>
                <w:rFonts w:ascii="宋体" w:hAnsi="宋体"/>
                <w:szCs w:val="21"/>
              </w:rPr>
              <w:t>苯</w:t>
            </w:r>
          </w:p>
        </w:tc>
        <w:tc>
          <w:tcPr>
            <w:tcW w:w="255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c>
          <w:tcPr>
            <w:tcW w:w="24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hint="eastAsia" w:ascii="宋体" w:hAnsi="宋体"/>
                <w:color w:val="000000"/>
                <w:szCs w:val="21"/>
              </w:rPr>
            </w:pPr>
            <w:r>
              <w:rPr>
                <w:rFonts w:hint="eastAsia" w:ascii="宋体" w:hAnsi="宋体"/>
                <w:color w:val="000000"/>
                <w:szCs w:val="21"/>
              </w:rPr>
              <w:t>11</w:t>
            </w:r>
          </w:p>
        </w:tc>
        <w:tc>
          <w:tcPr>
            <w:tcW w:w="1559" w:type="dxa"/>
            <w:vMerge w:val="continue"/>
            <w:vAlign w:val="center"/>
          </w:tcPr>
          <w:p>
            <w:pPr>
              <w:snapToGrid w:val="0"/>
              <w:spacing w:line="440" w:lineRule="exact"/>
              <w:jc w:val="center"/>
              <w:rPr>
                <w:rFonts w:ascii="宋体" w:hAnsi="宋体"/>
                <w:color w:val="000000"/>
                <w:szCs w:val="21"/>
              </w:rPr>
            </w:pPr>
          </w:p>
        </w:tc>
        <w:tc>
          <w:tcPr>
            <w:tcW w:w="1843" w:type="dxa"/>
            <w:vAlign w:val="center"/>
          </w:tcPr>
          <w:p>
            <w:pPr>
              <w:snapToGrid w:val="0"/>
              <w:spacing w:line="440" w:lineRule="exact"/>
              <w:jc w:val="center"/>
              <w:rPr>
                <w:rFonts w:ascii="宋体" w:hAnsi="宋体"/>
                <w:color w:val="000000"/>
                <w:szCs w:val="21"/>
              </w:rPr>
            </w:pPr>
            <w:r>
              <w:rPr>
                <w:rFonts w:ascii="宋体" w:hAnsi="宋体"/>
                <w:color w:val="000000"/>
                <w:szCs w:val="21"/>
              </w:rPr>
              <w:t>甲苯</w:t>
            </w:r>
            <w:r>
              <w:rPr>
                <w:rFonts w:hint="eastAsia" w:ascii="宋体" w:hAnsi="宋体"/>
                <w:color w:val="000000"/>
                <w:szCs w:val="21"/>
              </w:rPr>
              <w:t>+</w:t>
            </w:r>
            <w:r>
              <w:rPr>
                <w:rFonts w:ascii="宋体" w:hAnsi="宋体"/>
                <w:color w:val="000000"/>
                <w:szCs w:val="21"/>
              </w:rPr>
              <w:t>二甲苯</w:t>
            </w:r>
          </w:p>
        </w:tc>
        <w:tc>
          <w:tcPr>
            <w:tcW w:w="255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c>
          <w:tcPr>
            <w:tcW w:w="24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hint="eastAsia" w:ascii="宋体" w:hAnsi="宋体"/>
                <w:color w:val="000000"/>
                <w:szCs w:val="21"/>
              </w:rPr>
            </w:pPr>
            <w:r>
              <w:rPr>
                <w:rFonts w:hint="eastAsia" w:ascii="宋体" w:hAnsi="宋体"/>
                <w:color w:val="000000"/>
                <w:szCs w:val="21"/>
              </w:rPr>
              <w:t>12</w:t>
            </w:r>
          </w:p>
        </w:tc>
        <w:tc>
          <w:tcPr>
            <w:tcW w:w="1559" w:type="dxa"/>
            <w:vMerge w:val="continue"/>
            <w:vAlign w:val="center"/>
          </w:tcPr>
          <w:p>
            <w:pPr>
              <w:snapToGrid w:val="0"/>
              <w:spacing w:line="440" w:lineRule="exact"/>
              <w:jc w:val="center"/>
              <w:rPr>
                <w:rFonts w:ascii="宋体" w:hAnsi="宋体"/>
                <w:color w:val="000000"/>
                <w:szCs w:val="21"/>
              </w:rPr>
            </w:pPr>
          </w:p>
        </w:tc>
        <w:tc>
          <w:tcPr>
            <w:tcW w:w="1843" w:type="dxa"/>
            <w:vAlign w:val="center"/>
          </w:tcPr>
          <w:p>
            <w:pPr>
              <w:snapToGrid w:val="0"/>
              <w:spacing w:line="440" w:lineRule="exact"/>
              <w:jc w:val="center"/>
              <w:rPr>
                <w:rFonts w:ascii="宋体" w:hAnsi="宋体"/>
                <w:color w:val="000000"/>
                <w:szCs w:val="21"/>
              </w:rPr>
            </w:pPr>
            <w:r>
              <w:rPr>
                <w:rFonts w:ascii="宋体" w:hAnsi="宋体"/>
                <w:color w:val="000000"/>
                <w:szCs w:val="21"/>
              </w:rPr>
              <w:t>总挥发性有机物</w:t>
            </w:r>
          </w:p>
        </w:tc>
        <w:tc>
          <w:tcPr>
            <w:tcW w:w="255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c>
          <w:tcPr>
            <w:tcW w:w="24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r>
    </w:tbl>
    <w:p>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bookmarkStart w:id="0" w:name="_GoBack"/>
      <w:bookmarkEnd w:id="0"/>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05"/>
        <w:rPr>
          <w:szCs w:val="21"/>
        </w:rPr>
      </w:pPr>
      <w:r>
        <w:rPr>
          <w:rFonts w:hint="eastAsia" w:ascii="宋体" w:hAnsi="宋体"/>
          <w:color w:val="000000"/>
          <w:szCs w:val="21"/>
        </w:rPr>
        <w:t xml:space="preserve">GB 21027-2007 </w:t>
      </w:r>
      <w:r>
        <w:rPr>
          <w:szCs w:val="21"/>
        </w:rPr>
        <w:t>学生用品的安全通用要求</w:t>
      </w:r>
    </w:p>
    <w:p>
      <w:pPr>
        <w:snapToGrid w:val="0"/>
        <w:spacing w:line="440" w:lineRule="exact"/>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QB/T 2857-2007  固体胶</w:t>
      </w:r>
    </w:p>
    <w:p>
      <w:pPr>
        <w:snapToGrid w:val="0"/>
        <w:spacing w:line="440" w:lineRule="exact"/>
        <w:ind w:firstLine="420" w:firstLineChars="200"/>
        <w:rPr>
          <w:rFonts w:asciiTheme="minorEastAsia" w:hAnsiTheme="minorEastAsia" w:eastAsiaTheme="minorEastAsia"/>
          <w:szCs w:val="21"/>
        </w:rPr>
      </w:pPr>
      <w:r>
        <w:rPr>
          <w:rFonts w:hint="eastAsia" w:ascii="宋体" w:hAnsi="宋体"/>
          <w:color w:val="000000"/>
          <w:szCs w:val="21"/>
        </w:rPr>
        <w:t>QB/T 1961-2011办公用胶水</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62" w:firstLineChars="22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rPr>
          <w:rFonts w:ascii="宋体" w:hAnsi="宋体"/>
          <w:color w:val="000000"/>
          <w:szCs w:val="21"/>
        </w:rPr>
      </w:pPr>
      <w:r>
        <w:rPr>
          <w:rFonts w:hint="eastAsia" w:ascii="宋体" w:hAnsi="宋体"/>
          <w:color w:val="000000"/>
          <w:szCs w:val="21"/>
        </w:rPr>
        <w:t>3.2.1单项判定</w:t>
      </w:r>
    </w:p>
    <w:p>
      <w:pPr>
        <w:snapToGrid w:val="0"/>
        <w:spacing w:line="440" w:lineRule="exact"/>
        <w:ind w:firstLine="420"/>
        <w:rPr>
          <w:rFonts w:ascii="宋体" w:hAnsi="宋体" w:cs="宋体"/>
          <w:kern w:val="0"/>
          <w:szCs w:val="21"/>
        </w:rPr>
      </w:pPr>
      <w:r>
        <w:rPr>
          <w:rFonts w:hint="eastAsia" w:ascii="宋体" w:hAnsi="宋体"/>
          <w:szCs w:val="21"/>
        </w:rPr>
        <w:t>产品的检验项目中</w:t>
      </w:r>
      <w:r>
        <w:rPr>
          <w:rFonts w:hint="eastAsia" w:ascii="宋体" w:hAnsi="宋体" w:cs="宋体"/>
          <w:kern w:val="0"/>
          <w:szCs w:val="21"/>
        </w:rPr>
        <w:t>，需检验多件（2件或2件以上）样品时，若多件样品中任意1件检验项目不合格，就判定该批产品不合格。</w:t>
      </w:r>
    </w:p>
    <w:p>
      <w:pPr>
        <w:snapToGrid w:val="0"/>
        <w:spacing w:line="440" w:lineRule="exact"/>
        <w:rPr>
          <w:rFonts w:ascii="宋体" w:hAnsi="宋体"/>
          <w:color w:val="000000"/>
          <w:szCs w:val="21"/>
        </w:rPr>
      </w:pPr>
      <w:r>
        <w:rPr>
          <w:rFonts w:hint="eastAsia" w:ascii="宋体" w:hAnsi="宋体"/>
          <w:color w:val="000000"/>
          <w:szCs w:val="21"/>
        </w:rPr>
        <w:t>3.2.2综合判定</w:t>
      </w:r>
    </w:p>
    <w:p>
      <w:pPr>
        <w:snapToGrid w:val="0"/>
        <w:spacing w:line="440" w:lineRule="exact"/>
        <w:ind w:firstLine="42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70677"/>
    <w:rsid w:val="0007289B"/>
    <w:rsid w:val="000938BE"/>
    <w:rsid w:val="000F47BD"/>
    <w:rsid w:val="001115F1"/>
    <w:rsid w:val="00121A44"/>
    <w:rsid w:val="00126693"/>
    <w:rsid w:val="00176416"/>
    <w:rsid w:val="001F3FE8"/>
    <w:rsid w:val="00207F0B"/>
    <w:rsid w:val="002122B4"/>
    <w:rsid w:val="00240531"/>
    <w:rsid w:val="00267D91"/>
    <w:rsid w:val="00272CA1"/>
    <w:rsid w:val="00277D59"/>
    <w:rsid w:val="00292F7F"/>
    <w:rsid w:val="002A7AFD"/>
    <w:rsid w:val="00360E00"/>
    <w:rsid w:val="003808FF"/>
    <w:rsid w:val="00473779"/>
    <w:rsid w:val="004C13EF"/>
    <w:rsid w:val="004E1C1B"/>
    <w:rsid w:val="00513180"/>
    <w:rsid w:val="00553171"/>
    <w:rsid w:val="00556685"/>
    <w:rsid w:val="005B3386"/>
    <w:rsid w:val="00605616"/>
    <w:rsid w:val="00622E51"/>
    <w:rsid w:val="00623104"/>
    <w:rsid w:val="00681809"/>
    <w:rsid w:val="006E7112"/>
    <w:rsid w:val="007652FF"/>
    <w:rsid w:val="00813A0F"/>
    <w:rsid w:val="00814659"/>
    <w:rsid w:val="008E46F3"/>
    <w:rsid w:val="008E6FAA"/>
    <w:rsid w:val="00916257"/>
    <w:rsid w:val="009218FD"/>
    <w:rsid w:val="0097606A"/>
    <w:rsid w:val="009B0746"/>
    <w:rsid w:val="00A30649"/>
    <w:rsid w:val="00A67D77"/>
    <w:rsid w:val="00A871CD"/>
    <w:rsid w:val="00A957C3"/>
    <w:rsid w:val="00AF7D1B"/>
    <w:rsid w:val="00B50BA4"/>
    <w:rsid w:val="00B61E92"/>
    <w:rsid w:val="00B918EF"/>
    <w:rsid w:val="00BD6C92"/>
    <w:rsid w:val="00BE42E1"/>
    <w:rsid w:val="00D0415C"/>
    <w:rsid w:val="00D2319E"/>
    <w:rsid w:val="00DB1A1F"/>
    <w:rsid w:val="00DC4B95"/>
    <w:rsid w:val="00DD5955"/>
    <w:rsid w:val="00EB1677"/>
    <w:rsid w:val="00EF5E2D"/>
    <w:rsid w:val="00F05AD7"/>
    <w:rsid w:val="00F75F78"/>
    <w:rsid w:val="00F762D5"/>
    <w:rsid w:val="1894044A"/>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5">
    <w:name w:val="page number"/>
    <w:basedOn w:val="4"/>
    <w:uiPriority w:val="0"/>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8">
    <w:name w:val="页脚 Char"/>
    <w:basedOn w:val="4"/>
    <w:link w:val="2"/>
    <w:uiPriority w:val="99"/>
    <w:rPr>
      <w:sz w:val="18"/>
      <w:szCs w:val="18"/>
    </w:rPr>
  </w:style>
  <w:style w:type="character" w:customStyle="1" w:styleId="9">
    <w:name w:val="页眉 Char"/>
    <w:basedOn w:val="4"/>
    <w:link w:val="3"/>
    <w:uiPriority w:val="99"/>
    <w:rPr>
      <w:sz w:val="18"/>
      <w:szCs w:val="18"/>
    </w:rPr>
  </w:style>
  <w:style w:type="character" w:customStyle="1" w:styleId="10">
    <w:name w:val="页脚 Char1"/>
    <w:basedOn w:val="4"/>
    <w:link w:val="2"/>
    <w:semiHidden/>
    <w:uiPriority w:val="99"/>
    <w:rPr>
      <w:rFonts w:ascii="Times New Roman" w:hAnsi="Times New Roman" w:eastAsia="宋体" w:cs="Times New Roman"/>
      <w:sz w:val="18"/>
      <w:szCs w:val="18"/>
    </w:rPr>
  </w:style>
  <w:style w:type="character" w:customStyle="1" w:styleId="11">
    <w:name w:val="页眉 Char1"/>
    <w:basedOn w:val="4"/>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201</Words>
  <Characters>1148</Characters>
  <Lines>9</Lines>
  <Paragraphs>2</Paragraphs>
  <TotalTime>0</TotalTime>
  <ScaleCrop>false</ScaleCrop>
  <LinksUpToDate>false</LinksUpToDate>
  <CharactersWithSpaces>1347</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2020-01-02T07:16:00Z</dcterms:created>
  <dc:creator>pc</dc:creator>
  <cp:lastModifiedBy>张健</cp:lastModifiedBy>
  <dcterms:modified xsi:type="dcterms:W3CDTF">2020-02-24T02:20:49Z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