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重庆市记号笔产品质量监督抽查实施细则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每批次产品抽取样品44支，其中22支作为检验样品，22支作为备用样品。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693" w:type="dxa"/>
          </w:tcPr>
          <w:p>
            <w:pPr>
              <w:snapToGrid w:val="0"/>
              <w:spacing w:line="440" w:lineRule="exact"/>
              <w:jc w:val="center"/>
              <w:rPr>
                <w:rFonts w:ascii="宋体" w:hAnsi="宋体"/>
                <w:szCs w:val="21"/>
              </w:rPr>
            </w:pPr>
            <w:r>
              <w:rPr>
                <w:rFonts w:hint="eastAsia" w:ascii="宋体" w:hAnsi="宋体" w:cs="宋体"/>
                <w:kern w:val="0"/>
                <w:szCs w:val="21"/>
              </w:rPr>
              <w:t>书写性能</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2777-2015</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2777-2015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693" w:type="dxa"/>
          </w:tcPr>
          <w:p>
            <w:pPr>
              <w:snapToGrid w:val="0"/>
              <w:spacing w:line="440" w:lineRule="exact"/>
              <w:jc w:val="center"/>
              <w:rPr>
                <w:rFonts w:ascii="宋体" w:hAnsi="宋体"/>
                <w:szCs w:val="21"/>
              </w:rPr>
            </w:pPr>
            <w:r>
              <w:rPr>
                <w:rFonts w:ascii="宋体" w:hAnsi="宋体"/>
                <w:szCs w:val="21"/>
              </w:rPr>
              <w:t>抗漏性</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2777-2015</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2777-2015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693" w:type="dxa"/>
          </w:tcPr>
          <w:p>
            <w:pPr>
              <w:snapToGrid w:val="0"/>
              <w:spacing w:line="440" w:lineRule="exact"/>
              <w:jc w:val="center"/>
              <w:rPr>
                <w:rFonts w:ascii="宋体" w:hAnsi="宋体"/>
                <w:szCs w:val="21"/>
              </w:rPr>
            </w:pPr>
            <w:r>
              <w:rPr>
                <w:rFonts w:ascii="宋体" w:hAnsi="宋体"/>
                <w:szCs w:val="21"/>
              </w:rPr>
              <w:t>间歇书写</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2777-2015</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2777-2015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693" w:type="dxa"/>
          </w:tcPr>
          <w:p>
            <w:pPr>
              <w:snapToGrid w:val="0"/>
              <w:spacing w:line="440" w:lineRule="exact"/>
              <w:jc w:val="center"/>
              <w:rPr>
                <w:rFonts w:ascii="宋体" w:hAnsi="宋体"/>
                <w:szCs w:val="21"/>
              </w:rPr>
            </w:pPr>
            <w:r>
              <w:rPr>
                <w:rFonts w:hint="eastAsia" w:ascii="宋体" w:hAnsi="宋体"/>
                <w:szCs w:val="21"/>
              </w:rPr>
              <w:t>笔的上帽安全</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2693" w:type="dxa"/>
          </w:tcPr>
          <w:p>
            <w:pPr>
              <w:snapToGrid w:val="0"/>
              <w:spacing w:line="440" w:lineRule="exact"/>
              <w:jc w:val="center"/>
              <w:rPr>
                <w:rFonts w:ascii="宋体" w:hAnsi="宋体"/>
                <w:szCs w:val="21"/>
              </w:rPr>
            </w:pPr>
            <w:r>
              <w:rPr>
                <w:rFonts w:hint="eastAsia" w:ascii="宋体" w:hAnsi="宋体"/>
                <w:szCs w:val="21"/>
              </w:rPr>
              <w:t>可迁移元素含量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 附录C</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05"/>
        <w:rPr>
          <w:rFonts w:asciiTheme="minorEastAsia" w:hAnsiTheme="minorEastAsia" w:eastAsiaTheme="minorEastAsia"/>
          <w:szCs w:val="21"/>
        </w:rPr>
      </w:pPr>
      <w:r>
        <w:rPr>
          <w:rFonts w:hint="eastAsia" w:asciiTheme="minorEastAsia" w:hAnsiTheme="minorEastAsia" w:eastAsiaTheme="minorEastAsia"/>
          <w:szCs w:val="21"/>
        </w:rPr>
        <w:t>QB/T 2777-2015 记号笔</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w:t>
      </w:r>
    </w:p>
    <w:p>
      <w:pPr>
        <w:snapToGrid w:val="0"/>
        <w:spacing w:line="440" w:lineRule="exact"/>
        <w:ind w:firstLine="420"/>
        <w:rPr>
          <w:rFonts w:hint="eastAsia" w:ascii="宋体" w:hAnsi="宋体"/>
          <w:szCs w:val="21"/>
        </w:rPr>
      </w:pPr>
      <w:r>
        <w:rPr>
          <w:rFonts w:hint="eastAsia" w:ascii="宋体" w:hAnsi="宋体"/>
          <w:szCs w:val="21"/>
        </w:rPr>
        <w:t>可迁移元素项目中任何一项元素不符合要求时就判定为单项不合格。</w:t>
      </w:r>
    </w:p>
    <w:p>
      <w:pPr>
        <w:snapToGrid w:val="0"/>
        <w:spacing w:line="440" w:lineRule="exact"/>
        <w:ind w:firstLine="420"/>
        <w:rPr>
          <w:rFonts w:ascii="宋体" w:hAnsi="宋体"/>
          <w:szCs w:val="21"/>
        </w:rPr>
      </w:pPr>
      <w:r>
        <w:rPr>
          <w:rFonts w:hint="eastAsia" w:ascii="宋体" w:hAnsi="宋体"/>
          <w:szCs w:val="21"/>
        </w:rPr>
        <w:t>笔的上帽安全项目符合GB 21027标准中的3.7.1、3.7.2、3.7.3中的任意一条，则判定为单项合格，均不符合以上条块要求时判定为笔的上帽安全项目不合格。</w:t>
      </w:r>
    </w:p>
    <w:p>
      <w:pPr>
        <w:snapToGrid w:val="0"/>
        <w:spacing w:line="440" w:lineRule="exact"/>
        <w:ind w:firstLine="420"/>
        <w:rPr>
          <w:rFonts w:ascii="宋体" w:hAnsi="宋体" w:cs="宋体"/>
          <w:kern w:val="0"/>
          <w:szCs w:val="21"/>
        </w:rPr>
      </w:pPr>
      <w:r>
        <w:rPr>
          <w:rFonts w:hint="eastAsia" w:ascii="宋体" w:hAnsi="宋体"/>
          <w:szCs w:val="21"/>
        </w:rPr>
        <w:t>产品的其他检验项目中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F6EA4"/>
    <w:rsid w:val="00294840"/>
    <w:rsid w:val="002E523C"/>
    <w:rsid w:val="003A113D"/>
    <w:rsid w:val="004E1C1B"/>
    <w:rsid w:val="00593837"/>
    <w:rsid w:val="00600167"/>
    <w:rsid w:val="00605616"/>
    <w:rsid w:val="0064396E"/>
    <w:rsid w:val="00683C3C"/>
    <w:rsid w:val="006E7112"/>
    <w:rsid w:val="00787D84"/>
    <w:rsid w:val="00882B8A"/>
    <w:rsid w:val="0092324A"/>
    <w:rsid w:val="00953298"/>
    <w:rsid w:val="00A472C3"/>
    <w:rsid w:val="00B426B1"/>
    <w:rsid w:val="00DD5955"/>
    <w:rsid w:val="00EA5F26"/>
    <w:rsid w:val="00EB1677"/>
    <w:rsid w:val="3D451D0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uiPriority w:val="99"/>
    <w:rPr>
      <w:sz w:val="18"/>
      <w:szCs w:val="18"/>
    </w:rPr>
  </w:style>
  <w:style w:type="character" w:customStyle="1" w:styleId="9">
    <w:name w:val="页眉 Char"/>
    <w:basedOn w:val="4"/>
    <w:link w:val="3"/>
    <w:uiPriority w:val="99"/>
    <w:rPr>
      <w:sz w:val="18"/>
      <w:szCs w:val="18"/>
    </w:rPr>
  </w:style>
  <w:style w:type="character" w:customStyle="1" w:styleId="10">
    <w:name w:val="页脚 Char1"/>
    <w:basedOn w:val="4"/>
    <w:link w:val="2"/>
    <w:semiHidden/>
    <w:qFormat/>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163</Words>
  <Characters>935</Characters>
  <Lines>7</Lines>
  <Paragraphs>2</Paragraphs>
  <TotalTime>0</TotalTime>
  <ScaleCrop>false</ScaleCrop>
  <LinksUpToDate>false</LinksUpToDate>
  <CharactersWithSpaces>1096</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2020-02-24T02:21:19Z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