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ascii="宋体" w:hAnsi="宋体" w:eastAsia="方正小标宋简体"/>
          <w:color w:val="000000"/>
          <w:spacing w:val="-6"/>
          <w:szCs w:val="21"/>
        </w:rPr>
      </w:pPr>
      <w:r>
        <w:rPr>
          <w:rFonts w:hint="eastAsia" w:ascii="方正小标宋简体" w:hAnsi="仿宋" w:eastAsia="方正小标宋简体" w:cs="方正仿宋简体"/>
          <w:color w:val="000000"/>
          <w:spacing w:val="-6"/>
          <w:sz w:val="32"/>
          <w:szCs w:val="32"/>
        </w:rPr>
        <w:t>重庆市合成树脂乳液内墙涂料产品质量监督抽查实施细则（2020年二季度）</w:t>
      </w:r>
    </w:p>
    <w:p>
      <w:pPr>
        <w:snapToGrid w:val="0"/>
        <w:spacing w:line="440" w:lineRule="exact"/>
        <w:rPr>
          <w:rFonts w:ascii="黑体" w:hAnsi="宋体" w:eastAsia="黑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在生产者、销售者</w:t>
      </w:r>
      <w:bookmarkStart w:id="0" w:name="_GoBack"/>
      <w:bookmarkEnd w:id="0"/>
      <w:r>
        <w:rPr>
          <w:rFonts w:hint="eastAsia" w:ascii="宋体" w:hAnsi="宋体"/>
          <w:color w:val="000000"/>
          <w:szCs w:val="21"/>
          <w:lang w:eastAsia="zh-CN"/>
        </w:rPr>
        <w:t>的</w:t>
      </w:r>
      <w:r>
        <w:rPr>
          <w:rFonts w:hint="eastAsia" w:ascii="宋体" w:hAnsi="宋体"/>
          <w:color w:val="000000"/>
          <w:szCs w:val="21"/>
        </w:rPr>
        <w:t>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每批次产品抽取样品6kg，其中3kg作为检验样品，3kg作为备用样品。备用样品留存于承检机构。随机数一般可使用随机数表、随机数骰子或扑克牌等方法进行。</w:t>
      </w:r>
    </w:p>
    <w:p>
      <w:pPr>
        <w:snapToGrid w:val="0"/>
        <w:spacing w:line="440" w:lineRule="exact"/>
        <w:ind w:firstLine="420" w:firstLineChars="200"/>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105" w:firstLineChars="50"/>
        <w:rPr>
          <w:rFonts w:ascii="宋体" w:hAnsi="宋体"/>
          <w:color w:val="000000" w:themeColor="text1"/>
          <w:szCs w:val="21"/>
        </w:rPr>
      </w:pPr>
      <w:r>
        <w:rPr>
          <w:rFonts w:hint="eastAsia" w:ascii="宋体" w:hAnsi="宋体"/>
          <w:color w:val="000000" w:themeColor="text1"/>
          <w:szCs w:val="21"/>
        </w:rPr>
        <w:t>检验项目和检验方法见表1、表2。</w:t>
      </w: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表1 面漆检验项目</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989"/>
        <w:gridCol w:w="2539"/>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2989"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539"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2989" w:type="dxa"/>
            <w:vAlign w:val="center"/>
          </w:tcPr>
          <w:p>
            <w:pPr>
              <w:snapToGrid w:val="0"/>
              <w:spacing w:line="440" w:lineRule="exact"/>
              <w:jc w:val="center"/>
              <w:rPr>
                <w:rFonts w:ascii="宋体" w:hAnsi="宋体"/>
                <w:color w:val="000000" w:themeColor="text1"/>
                <w:szCs w:val="21"/>
              </w:rPr>
            </w:pPr>
            <w:r>
              <w:rPr>
                <w:rFonts w:hint="eastAsia" w:ascii="宋体" w:hAnsi="宋体" w:cs="宋体"/>
                <w:color w:val="000000" w:themeColor="text1"/>
                <w:kern w:val="0"/>
                <w:szCs w:val="21"/>
              </w:rPr>
              <w:t>低温稳定性</w:t>
            </w:r>
          </w:p>
        </w:tc>
        <w:tc>
          <w:tcPr>
            <w:tcW w:w="2539"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9756-2018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9268-2008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2989"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低温成膜性</w:t>
            </w:r>
          </w:p>
        </w:tc>
        <w:tc>
          <w:tcPr>
            <w:tcW w:w="2539"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9756-2018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9756-2018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3</w:t>
            </w:r>
          </w:p>
        </w:tc>
        <w:tc>
          <w:tcPr>
            <w:tcW w:w="2989"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耐碱性</w:t>
            </w:r>
          </w:p>
        </w:tc>
        <w:tc>
          <w:tcPr>
            <w:tcW w:w="2539"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9756-2018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4</w:t>
            </w:r>
          </w:p>
        </w:tc>
        <w:tc>
          <w:tcPr>
            <w:tcW w:w="2989"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对比率</w:t>
            </w:r>
          </w:p>
        </w:tc>
        <w:tc>
          <w:tcPr>
            <w:tcW w:w="2539"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9756-2018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23981-2009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5</w:t>
            </w:r>
          </w:p>
        </w:tc>
        <w:tc>
          <w:tcPr>
            <w:tcW w:w="2989"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耐洗刷性</w:t>
            </w:r>
          </w:p>
        </w:tc>
        <w:tc>
          <w:tcPr>
            <w:tcW w:w="2539"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9756-2018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9266-2009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6</w:t>
            </w:r>
          </w:p>
        </w:tc>
        <w:tc>
          <w:tcPr>
            <w:tcW w:w="2989" w:type="dxa"/>
            <w:vAlign w:val="center"/>
          </w:tcPr>
          <w:p>
            <w:pPr>
              <w:snapToGrid w:val="0"/>
              <w:jc w:val="center"/>
              <w:rPr>
                <w:rFonts w:ascii="宋体" w:hAnsi="宋体"/>
                <w:color w:val="000000" w:themeColor="text1"/>
                <w:szCs w:val="21"/>
              </w:rPr>
            </w:pPr>
            <w:r>
              <w:rPr>
                <w:rFonts w:hint="eastAsia" w:ascii="宋体" w:hAnsi="宋体"/>
                <w:color w:val="000000" w:themeColor="text1"/>
                <w:szCs w:val="21"/>
              </w:rPr>
              <w:t>挥发性有机化合物含量(VOC)</w:t>
            </w:r>
          </w:p>
        </w:tc>
        <w:tc>
          <w:tcPr>
            <w:tcW w:w="2539"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7</w:t>
            </w:r>
          </w:p>
        </w:tc>
        <w:tc>
          <w:tcPr>
            <w:tcW w:w="2989" w:type="dxa"/>
            <w:vAlign w:val="center"/>
          </w:tcPr>
          <w:p>
            <w:pPr>
              <w:snapToGrid w:val="0"/>
              <w:jc w:val="center"/>
              <w:rPr>
                <w:rFonts w:ascii="宋体" w:hAnsi="宋体"/>
                <w:color w:val="000000" w:themeColor="text1"/>
                <w:szCs w:val="21"/>
              </w:rPr>
            </w:pPr>
            <w:r>
              <w:rPr>
                <w:rFonts w:hint="eastAsia" w:ascii="宋体" w:hAnsi="宋体"/>
                <w:szCs w:val="21"/>
              </w:rPr>
              <w:t>苯、甲苯、乙苯、二甲苯总和</w:t>
            </w:r>
          </w:p>
        </w:tc>
        <w:tc>
          <w:tcPr>
            <w:tcW w:w="2539"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8</w:t>
            </w:r>
          </w:p>
        </w:tc>
        <w:tc>
          <w:tcPr>
            <w:tcW w:w="2989"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游离甲醛</w:t>
            </w:r>
          </w:p>
        </w:tc>
        <w:tc>
          <w:tcPr>
            <w:tcW w:w="2539"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9</w:t>
            </w:r>
          </w:p>
        </w:tc>
        <w:tc>
          <w:tcPr>
            <w:tcW w:w="2989" w:type="dxa"/>
            <w:vAlign w:val="center"/>
          </w:tcPr>
          <w:p>
            <w:pPr>
              <w:snapToGrid w:val="0"/>
              <w:jc w:val="center"/>
              <w:rPr>
                <w:rFonts w:ascii="宋体" w:hAnsi="宋体"/>
                <w:color w:val="000000" w:themeColor="text1"/>
                <w:szCs w:val="21"/>
              </w:rPr>
            </w:pPr>
            <w:r>
              <w:rPr>
                <w:rFonts w:hint="eastAsia" w:ascii="宋体" w:hAnsi="宋体"/>
                <w:szCs w:val="21"/>
              </w:rPr>
              <w:t>可溶性重金属（铅、镉、铬、汞）</w:t>
            </w:r>
          </w:p>
        </w:tc>
        <w:tc>
          <w:tcPr>
            <w:tcW w:w="2539"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r>
    </w:tbl>
    <w:p>
      <w:pPr>
        <w:snapToGrid w:val="0"/>
        <w:spacing w:line="440" w:lineRule="exact"/>
        <w:jc w:val="center"/>
        <w:rPr>
          <w:rFonts w:ascii="宋体" w:hAnsi="宋体"/>
          <w:color w:val="000000" w:themeColor="text1"/>
          <w:szCs w:val="21"/>
        </w:rPr>
      </w:pP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表2底漆检验项目</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974"/>
        <w:gridCol w:w="2554"/>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2974"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554"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2974" w:type="dxa"/>
            <w:vAlign w:val="center"/>
          </w:tcPr>
          <w:p>
            <w:pPr>
              <w:snapToGrid w:val="0"/>
              <w:spacing w:line="440" w:lineRule="exact"/>
              <w:jc w:val="center"/>
              <w:rPr>
                <w:rFonts w:ascii="宋体" w:hAnsi="宋体"/>
                <w:color w:val="000000" w:themeColor="text1"/>
                <w:szCs w:val="21"/>
              </w:rPr>
            </w:pPr>
            <w:r>
              <w:rPr>
                <w:rFonts w:hint="eastAsia" w:ascii="宋体" w:hAnsi="宋体" w:cs="宋体"/>
                <w:color w:val="000000" w:themeColor="text1"/>
                <w:kern w:val="0"/>
                <w:szCs w:val="21"/>
              </w:rPr>
              <w:t>低温稳定性</w:t>
            </w:r>
          </w:p>
        </w:tc>
        <w:tc>
          <w:tcPr>
            <w:tcW w:w="2554"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9756-2018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9268-2008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2974"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低温成膜性</w:t>
            </w:r>
          </w:p>
        </w:tc>
        <w:tc>
          <w:tcPr>
            <w:tcW w:w="2554"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9756-2018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9756-2018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3</w:t>
            </w:r>
          </w:p>
        </w:tc>
        <w:tc>
          <w:tcPr>
            <w:tcW w:w="2974"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耐碱性</w:t>
            </w:r>
          </w:p>
        </w:tc>
        <w:tc>
          <w:tcPr>
            <w:tcW w:w="2554"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9756-2018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4</w:t>
            </w:r>
          </w:p>
        </w:tc>
        <w:tc>
          <w:tcPr>
            <w:tcW w:w="2974"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抗泛碱性</w:t>
            </w:r>
          </w:p>
        </w:tc>
        <w:tc>
          <w:tcPr>
            <w:tcW w:w="2554"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9756-2018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9756-2018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5</w:t>
            </w:r>
          </w:p>
        </w:tc>
        <w:tc>
          <w:tcPr>
            <w:tcW w:w="2974" w:type="dxa"/>
            <w:vAlign w:val="center"/>
          </w:tcPr>
          <w:p>
            <w:pPr>
              <w:snapToGrid w:val="0"/>
              <w:jc w:val="center"/>
              <w:rPr>
                <w:rFonts w:ascii="宋体" w:hAnsi="宋体"/>
                <w:color w:val="000000" w:themeColor="text1"/>
                <w:szCs w:val="21"/>
              </w:rPr>
            </w:pPr>
            <w:r>
              <w:rPr>
                <w:rFonts w:hint="eastAsia" w:ascii="宋体" w:hAnsi="宋体"/>
                <w:color w:val="000000" w:themeColor="text1"/>
                <w:szCs w:val="21"/>
              </w:rPr>
              <w:t>挥发性有机化合物含量(VOC)</w:t>
            </w:r>
          </w:p>
        </w:tc>
        <w:tc>
          <w:tcPr>
            <w:tcW w:w="2554"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6</w:t>
            </w:r>
          </w:p>
        </w:tc>
        <w:tc>
          <w:tcPr>
            <w:tcW w:w="2974" w:type="dxa"/>
            <w:vAlign w:val="center"/>
          </w:tcPr>
          <w:p>
            <w:pPr>
              <w:snapToGrid w:val="0"/>
              <w:jc w:val="center"/>
              <w:rPr>
                <w:rFonts w:ascii="宋体" w:hAnsi="宋体"/>
                <w:color w:val="000000" w:themeColor="text1"/>
                <w:szCs w:val="21"/>
              </w:rPr>
            </w:pPr>
            <w:r>
              <w:rPr>
                <w:rFonts w:hint="eastAsia" w:ascii="宋体" w:hAnsi="宋体"/>
                <w:szCs w:val="21"/>
              </w:rPr>
              <w:t>苯、甲苯、乙苯、二甲苯总和</w:t>
            </w:r>
          </w:p>
        </w:tc>
        <w:tc>
          <w:tcPr>
            <w:tcW w:w="2554"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7</w:t>
            </w:r>
          </w:p>
        </w:tc>
        <w:tc>
          <w:tcPr>
            <w:tcW w:w="2974"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游离甲醛</w:t>
            </w:r>
          </w:p>
        </w:tc>
        <w:tc>
          <w:tcPr>
            <w:tcW w:w="2554"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8</w:t>
            </w:r>
          </w:p>
        </w:tc>
        <w:tc>
          <w:tcPr>
            <w:tcW w:w="2974" w:type="dxa"/>
            <w:vAlign w:val="center"/>
          </w:tcPr>
          <w:p>
            <w:pPr>
              <w:snapToGrid w:val="0"/>
              <w:jc w:val="center"/>
              <w:rPr>
                <w:rFonts w:ascii="宋体" w:hAnsi="宋体"/>
                <w:color w:val="000000" w:themeColor="text1"/>
                <w:szCs w:val="21"/>
              </w:rPr>
            </w:pPr>
            <w:r>
              <w:rPr>
                <w:rFonts w:hint="eastAsia" w:ascii="宋体" w:hAnsi="宋体"/>
                <w:szCs w:val="21"/>
              </w:rPr>
              <w:t>可溶性重金属（铅、镉、铬、汞）</w:t>
            </w:r>
          </w:p>
        </w:tc>
        <w:tc>
          <w:tcPr>
            <w:tcW w:w="2554"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r>
    </w:tbl>
    <w:p>
      <w:pPr>
        <w:snapToGrid w:val="0"/>
        <w:spacing w:line="440" w:lineRule="exact"/>
        <w:rPr>
          <w:rFonts w:ascii="宋体" w:hAnsi="宋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05"/>
        <w:rPr>
          <w:color w:val="000000" w:themeColor="text1"/>
          <w:szCs w:val="21"/>
        </w:rPr>
      </w:pPr>
      <w:r>
        <w:rPr>
          <w:rFonts w:hint="eastAsia" w:ascii="宋体" w:hAnsi="宋体"/>
          <w:color w:val="000000" w:themeColor="text1"/>
          <w:szCs w:val="21"/>
        </w:rPr>
        <w:t>GB 18582-2008</w:t>
      </w:r>
      <w:r>
        <w:rPr>
          <w:rFonts w:hint="eastAsia"/>
          <w:color w:val="000000" w:themeColor="text1"/>
          <w:szCs w:val="21"/>
        </w:rPr>
        <w:t>室内装饰装修材料 内墙涂料中有害物质限量</w:t>
      </w:r>
    </w:p>
    <w:p>
      <w:pPr>
        <w:snapToGrid w:val="0"/>
        <w:spacing w:line="440" w:lineRule="exact"/>
        <w:ind w:firstLine="405"/>
        <w:rPr>
          <w:rFonts w:hint="eastAsia"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GB/T 9756-2018合成树脂乳液内墙涂料</w:t>
      </w:r>
    </w:p>
    <w:p>
      <w:pPr>
        <w:snapToGrid w:val="0"/>
        <w:spacing w:line="440" w:lineRule="exact"/>
        <w:ind w:firstLine="462" w:firstLineChars="220"/>
        <w:rPr>
          <w:rFonts w:ascii="宋体" w:hAnsi="宋体"/>
          <w:szCs w:val="21"/>
        </w:rPr>
      </w:pPr>
      <w:r>
        <w:rPr>
          <w:rFonts w:hint="eastAsia" w:ascii="宋体" w:hAnsi="宋体"/>
          <w:szCs w:val="21"/>
        </w:rPr>
        <w:t>相关的法律、行政法规、部门规章、规范性文件</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5682E"/>
    <w:rsid w:val="00063497"/>
    <w:rsid w:val="00093590"/>
    <w:rsid w:val="000F6EA4"/>
    <w:rsid w:val="00294840"/>
    <w:rsid w:val="002E523C"/>
    <w:rsid w:val="003A113D"/>
    <w:rsid w:val="003C46AB"/>
    <w:rsid w:val="004E1AD2"/>
    <w:rsid w:val="004E1C1B"/>
    <w:rsid w:val="00593837"/>
    <w:rsid w:val="00600167"/>
    <w:rsid w:val="00605616"/>
    <w:rsid w:val="0064396E"/>
    <w:rsid w:val="00683C3C"/>
    <w:rsid w:val="006E7112"/>
    <w:rsid w:val="00787D84"/>
    <w:rsid w:val="00882B8A"/>
    <w:rsid w:val="0092324A"/>
    <w:rsid w:val="00953298"/>
    <w:rsid w:val="00A472C3"/>
    <w:rsid w:val="00B426B1"/>
    <w:rsid w:val="00C81E85"/>
    <w:rsid w:val="00DD5955"/>
    <w:rsid w:val="00E002BA"/>
    <w:rsid w:val="00EA5F26"/>
    <w:rsid w:val="00EB1677"/>
    <w:rsid w:val="037E3FDB"/>
    <w:rsid w:val="05832245"/>
    <w:rsid w:val="067F60CE"/>
    <w:rsid w:val="096B503A"/>
    <w:rsid w:val="12850AE3"/>
    <w:rsid w:val="1C5477AF"/>
    <w:rsid w:val="1D6A1D49"/>
    <w:rsid w:val="2DFF05F4"/>
    <w:rsid w:val="30135237"/>
    <w:rsid w:val="356B5EE7"/>
    <w:rsid w:val="383F226C"/>
    <w:rsid w:val="43B3734F"/>
    <w:rsid w:val="46763C35"/>
    <w:rsid w:val="49A63324"/>
    <w:rsid w:val="4DD56467"/>
    <w:rsid w:val="58252E04"/>
    <w:rsid w:val="61103624"/>
    <w:rsid w:val="6A3E51CD"/>
    <w:rsid w:val="6C682A58"/>
    <w:rsid w:val="6FF62FF7"/>
    <w:rsid w:val="7009662C"/>
    <w:rsid w:val="720B77DF"/>
    <w:rsid w:val="76EE73D8"/>
    <w:rsid w:val="7DD854AA"/>
    <w:rsid w:val="7DDF6F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7">
    <w:name w:val="page number"/>
    <w:basedOn w:val="6"/>
    <w:qFormat/>
    <w:uiPriority w:val="0"/>
  </w:style>
  <w:style w:type="character" w:customStyle="1" w:styleId="8">
    <w:name w:val="页脚 Char"/>
    <w:basedOn w:val="6"/>
    <w:link w:val="2"/>
    <w:qFormat/>
    <w:uiPriority w:val="99"/>
    <w:rPr>
      <w:sz w:val="18"/>
      <w:szCs w:val="18"/>
    </w:rPr>
  </w:style>
  <w:style w:type="character" w:customStyle="1" w:styleId="9">
    <w:name w:val="页眉 Char"/>
    <w:basedOn w:val="6"/>
    <w:link w:val="3"/>
    <w:qFormat/>
    <w:uiPriority w:val="99"/>
    <w:rPr>
      <w:sz w:val="18"/>
      <w:szCs w:val="18"/>
    </w:rPr>
  </w:style>
  <w:style w:type="character" w:customStyle="1" w:styleId="10">
    <w:name w:val="页脚 Char1"/>
    <w:basedOn w:val="6"/>
    <w:link w:val="2"/>
    <w:semiHidden/>
    <w:qFormat/>
    <w:uiPriority w:val="99"/>
    <w:rPr>
      <w:rFonts w:ascii="Times New Roman" w:hAnsi="Times New Roman" w:eastAsia="宋体" w:cs="Times New Roman"/>
      <w:sz w:val="18"/>
      <w:szCs w:val="18"/>
    </w:rPr>
  </w:style>
  <w:style w:type="character" w:customStyle="1" w:styleId="11">
    <w:name w:val="页眉 Char1"/>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212</Words>
  <Characters>1212</Characters>
  <Lines>10</Lines>
  <Paragraphs>2</Paragraphs>
  <TotalTime>5</TotalTime>
  <ScaleCrop>false</ScaleCrop>
  <LinksUpToDate>false</LinksUpToDate>
  <CharactersWithSpaces>1422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2020-01-02T15:16:00Z</dcterms:created>
  <dc:creator>pc</dc:creator>
  <cp:lastModifiedBy>scjgj</cp:lastModifiedBy>
  <dcterms:modified xsi:type="dcterms:W3CDTF">2023-12-20T09:59:51Z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