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重庆市绝热用模塑聚苯乙烯泡沫塑料产品</w:t>
      </w:r>
    </w:p>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质量监督抽查实施细则（2020年</w:t>
      </w:r>
      <w:r>
        <w:rPr>
          <w:rFonts w:hint="eastAsia" w:ascii="方正小标宋简体" w:hAnsi="仿宋" w:eastAsia="方正小标宋简体" w:cs="方正仿宋简体"/>
          <w:color w:val="000000"/>
          <w:sz w:val="32"/>
          <w:szCs w:val="32"/>
          <w:lang w:val="en-US" w:eastAsia="zh-CN"/>
        </w:rPr>
        <w:t>二季度</w:t>
      </w:r>
      <w:r>
        <w:rPr>
          <w:rFonts w:hint="eastAsia" w:ascii="方正小标宋简体" w:hAnsi="仿宋" w:eastAsia="方正小标宋简体" w:cs="方正仿宋简体"/>
          <w:color w:val="000000"/>
          <w:sz w:val="32"/>
          <w:szCs w:val="32"/>
        </w:rPr>
        <w:t>）</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在</w:t>
      </w:r>
      <w:r>
        <w:rPr>
          <w:rFonts w:hint="eastAsia" w:ascii="宋体" w:hAnsi="宋体"/>
          <w:szCs w:val="21"/>
          <w:lang w:val="en-US" w:eastAsia="zh-CN"/>
        </w:rPr>
        <w:t>生产者、销售者</w:t>
      </w:r>
      <w:r>
        <w:rPr>
          <w:rFonts w:hint="eastAsia" w:ascii="宋体" w:hAnsi="宋体"/>
          <w:color w:val="000000"/>
          <w:szCs w:val="21"/>
        </w:rPr>
        <w:t>的待销产品中随机抽取有产品质量检验合格证明或者以其他形式表明合格的、且自生产之日起放置28天以上的产品。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color w:val="000000"/>
          <w:szCs w:val="21"/>
        </w:rPr>
      </w:pPr>
      <w:r>
        <w:rPr>
          <w:rFonts w:hint="eastAsia" w:ascii="宋体" w:hAnsi="宋体"/>
          <w:szCs w:val="21"/>
        </w:rPr>
        <w:t>每批次</w:t>
      </w:r>
      <w:bookmarkStart w:id="0" w:name="_GoBack"/>
      <w:bookmarkEnd w:id="0"/>
      <w:r>
        <w:rPr>
          <w:rFonts w:hint="eastAsia" w:ascii="宋体" w:hAnsi="宋体"/>
          <w:szCs w:val="21"/>
        </w:rPr>
        <w:t>抽取尺寸不小于1200mm×600mm的产品28块，其中14块为检验样品，14块为备用样品。备用样品</w:t>
      </w:r>
      <w:r>
        <w:rPr>
          <w:rFonts w:hint="eastAsia" w:ascii="宋体" w:hAnsi="宋体"/>
          <w:szCs w:val="21"/>
          <w:lang w:val="en-US" w:eastAsia="zh-CN"/>
        </w:rPr>
        <w:t>留</w:t>
      </w:r>
      <w:r>
        <w:rPr>
          <w:rFonts w:hint="eastAsia" w:ascii="宋体" w:hAnsi="宋体"/>
          <w:szCs w:val="21"/>
        </w:rPr>
        <w:t>存于承检机构。</w:t>
      </w:r>
      <w:r>
        <w:rPr>
          <w:rFonts w:hint="eastAsia" w:ascii="宋体" w:hAnsi="宋体"/>
          <w:color w:val="000000"/>
          <w:szCs w:val="21"/>
        </w:rPr>
        <w:t>随机数一般可使用随机数表、随机数骰子或扑克牌等方法产生。</w:t>
      </w:r>
    </w:p>
    <w:p>
      <w:pPr>
        <w:snapToGrid w:val="0"/>
        <w:spacing w:line="440" w:lineRule="exact"/>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jc w:val="center"/>
        <w:rPr>
          <w:rFonts w:ascii="宋体" w:hAnsi="宋体"/>
          <w:color w:val="000000"/>
          <w:szCs w:val="21"/>
        </w:rPr>
      </w:pPr>
      <w:r>
        <w:rPr>
          <w:rFonts w:hint="eastAsia" w:ascii="宋体" w:hAnsi="宋体"/>
          <w:color w:val="000000"/>
          <w:szCs w:val="21"/>
        </w:rPr>
        <w:t>表1  检验项目和检验方法</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2945"/>
        <w:gridCol w:w="2554"/>
        <w:gridCol w:w="2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615" w:type="pct"/>
          </w:tcPr>
          <w:p>
            <w:pPr>
              <w:snapToGrid w:val="0"/>
              <w:spacing w:line="440" w:lineRule="exact"/>
              <w:jc w:val="center"/>
              <w:rPr>
                <w:rFonts w:ascii="宋体" w:hAnsi="宋体"/>
                <w:b w:val="0"/>
                <w:bCs/>
                <w:color w:val="000000"/>
                <w:szCs w:val="21"/>
              </w:rPr>
            </w:pPr>
            <w:r>
              <w:rPr>
                <w:rFonts w:hint="eastAsia" w:ascii="宋体" w:hAnsi="宋体"/>
                <w:b w:val="0"/>
                <w:bCs/>
                <w:color w:val="000000"/>
                <w:szCs w:val="21"/>
              </w:rPr>
              <w:t>序号</w:t>
            </w:r>
          </w:p>
        </w:tc>
        <w:tc>
          <w:tcPr>
            <w:tcW w:w="1605" w:type="pct"/>
          </w:tcPr>
          <w:p>
            <w:pPr>
              <w:snapToGrid w:val="0"/>
              <w:spacing w:line="440" w:lineRule="exact"/>
              <w:jc w:val="center"/>
              <w:rPr>
                <w:rFonts w:ascii="宋体" w:hAnsi="宋体"/>
                <w:b w:val="0"/>
                <w:bCs/>
                <w:color w:val="000000"/>
                <w:szCs w:val="21"/>
              </w:rPr>
            </w:pPr>
            <w:r>
              <w:rPr>
                <w:rFonts w:hint="eastAsia" w:ascii="宋体" w:hAnsi="宋体"/>
                <w:b w:val="0"/>
                <w:bCs/>
                <w:color w:val="000000"/>
                <w:szCs w:val="21"/>
              </w:rPr>
              <w:t>检验项目</w:t>
            </w:r>
          </w:p>
        </w:tc>
        <w:tc>
          <w:tcPr>
            <w:tcW w:w="1392" w:type="pct"/>
          </w:tcPr>
          <w:p>
            <w:pPr>
              <w:snapToGrid w:val="0"/>
              <w:spacing w:line="440" w:lineRule="exact"/>
              <w:jc w:val="center"/>
              <w:rPr>
                <w:rFonts w:ascii="宋体" w:hAnsi="宋体"/>
                <w:b w:val="0"/>
                <w:bCs/>
                <w:color w:val="000000"/>
                <w:szCs w:val="21"/>
              </w:rPr>
            </w:pPr>
            <w:r>
              <w:rPr>
                <w:rFonts w:hint="eastAsia" w:ascii="宋体" w:hAnsi="宋体"/>
                <w:b w:val="0"/>
                <w:bCs/>
                <w:color w:val="000000"/>
                <w:szCs w:val="21"/>
              </w:rPr>
              <w:t>判定依据</w:t>
            </w:r>
          </w:p>
        </w:tc>
        <w:tc>
          <w:tcPr>
            <w:tcW w:w="1387" w:type="pct"/>
          </w:tcPr>
          <w:p>
            <w:pPr>
              <w:snapToGrid w:val="0"/>
              <w:spacing w:line="440" w:lineRule="exact"/>
              <w:jc w:val="center"/>
              <w:rPr>
                <w:rFonts w:ascii="宋体" w:hAnsi="宋体"/>
                <w:b w:val="0"/>
                <w:bCs/>
                <w:color w:val="000000"/>
                <w:szCs w:val="21"/>
              </w:rPr>
            </w:pPr>
            <w:r>
              <w:rPr>
                <w:rFonts w:hint="eastAsia" w:ascii="宋体" w:hAnsi="宋体"/>
                <w:b w:val="0"/>
                <w:bCs/>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5" w:type="pct"/>
          </w:tcPr>
          <w:p>
            <w:pPr>
              <w:snapToGrid w:val="0"/>
              <w:spacing w:line="440" w:lineRule="exact"/>
              <w:jc w:val="center"/>
              <w:rPr>
                <w:rFonts w:ascii="宋体" w:hAnsi="宋体"/>
                <w:szCs w:val="21"/>
              </w:rPr>
            </w:pPr>
            <w:r>
              <w:rPr>
                <w:rFonts w:hint="eastAsia" w:ascii="宋体" w:hAnsi="宋体"/>
                <w:szCs w:val="21"/>
              </w:rPr>
              <w:t>1</w:t>
            </w:r>
          </w:p>
        </w:tc>
        <w:tc>
          <w:tcPr>
            <w:tcW w:w="1605" w:type="pct"/>
            <w:vAlign w:val="center"/>
          </w:tcPr>
          <w:p>
            <w:pPr>
              <w:snapToGrid w:val="0"/>
              <w:spacing w:line="440" w:lineRule="exact"/>
              <w:jc w:val="center"/>
              <w:rPr>
                <w:rFonts w:ascii="宋体" w:hAnsi="宋体"/>
                <w:szCs w:val="21"/>
              </w:rPr>
            </w:pPr>
            <w:r>
              <w:rPr>
                <w:rFonts w:hint="eastAsia" w:ascii="宋体" w:hAnsi="宋体"/>
                <w:szCs w:val="21"/>
              </w:rPr>
              <w:t>表观密度</w:t>
            </w:r>
          </w:p>
        </w:tc>
        <w:tc>
          <w:tcPr>
            <w:tcW w:w="1392" w:type="pct"/>
            <w:vAlign w:val="center"/>
          </w:tcPr>
          <w:p>
            <w:pPr>
              <w:snapToGrid w:val="0"/>
              <w:spacing w:line="440" w:lineRule="exact"/>
              <w:jc w:val="center"/>
              <w:rPr>
                <w:rFonts w:ascii="宋体" w:hAnsi="宋体"/>
                <w:szCs w:val="21"/>
              </w:rPr>
            </w:pPr>
            <w:r>
              <w:rPr>
                <w:rFonts w:hint="eastAsia" w:ascii="宋体" w:hAnsi="宋体"/>
                <w:szCs w:val="21"/>
              </w:rPr>
              <w:t>GB/T 10801.1-2002</w:t>
            </w:r>
          </w:p>
        </w:tc>
        <w:tc>
          <w:tcPr>
            <w:tcW w:w="1387" w:type="pct"/>
            <w:vAlign w:val="center"/>
          </w:tcPr>
          <w:p>
            <w:pPr>
              <w:snapToGrid w:val="0"/>
              <w:spacing w:line="440" w:lineRule="exact"/>
              <w:jc w:val="center"/>
              <w:rPr>
                <w:rFonts w:ascii="宋体" w:hAnsi="宋体"/>
                <w:szCs w:val="21"/>
              </w:rPr>
            </w:pPr>
            <w:r>
              <w:rPr>
                <w:rFonts w:hint="eastAsia" w:ascii="宋体" w:hAnsi="宋体"/>
                <w:szCs w:val="21"/>
              </w:rPr>
              <w:t>GB/T 6343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5" w:type="pct"/>
          </w:tcPr>
          <w:p>
            <w:pPr>
              <w:snapToGrid w:val="0"/>
              <w:spacing w:line="440" w:lineRule="exact"/>
              <w:jc w:val="center"/>
              <w:rPr>
                <w:rFonts w:ascii="宋体" w:hAnsi="宋体"/>
                <w:szCs w:val="21"/>
              </w:rPr>
            </w:pPr>
            <w:r>
              <w:rPr>
                <w:rFonts w:hint="eastAsia" w:ascii="宋体" w:hAnsi="宋体"/>
                <w:szCs w:val="21"/>
              </w:rPr>
              <w:t>2</w:t>
            </w:r>
          </w:p>
        </w:tc>
        <w:tc>
          <w:tcPr>
            <w:tcW w:w="1605" w:type="pct"/>
            <w:vAlign w:val="center"/>
          </w:tcPr>
          <w:p>
            <w:pPr>
              <w:snapToGrid w:val="0"/>
              <w:spacing w:line="440" w:lineRule="exact"/>
              <w:jc w:val="center"/>
              <w:rPr>
                <w:rFonts w:ascii="宋体" w:hAnsi="宋体"/>
                <w:szCs w:val="21"/>
              </w:rPr>
            </w:pPr>
            <w:r>
              <w:rPr>
                <w:rFonts w:hint="eastAsia" w:ascii="宋体" w:hAnsi="宋体"/>
                <w:szCs w:val="21"/>
              </w:rPr>
              <w:t>压缩强度</w:t>
            </w:r>
          </w:p>
        </w:tc>
        <w:tc>
          <w:tcPr>
            <w:tcW w:w="1392" w:type="pct"/>
            <w:vAlign w:val="center"/>
          </w:tcPr>
          <w:p>
            <w:pPr>
              <w:snapToGrid w:val="0"/>
              <w:spacing w:line="440" w:lineRule="exact"/>
              <w:jc w:val="center"/>
              <w:rPr>
                <w:rFonts w:ascii="宋体" w:hAnsi="宋体"/>
                <w:szCs w:val="21"/>
              </w:rPr>
            </w:pPr>
            <w:r>
              <w:rPr>
                <w:rFonts w:hint="eastAsia" w:ascii="宋体" w:hAnsi="宋体"/>
                <w:szCs w:val="21"/>
              </w:rPr>
              <w:t>GB/T 10801.1-2002</w:t>
            </w:r>
          </w:p>
        </w:tc>
        <w:tc>
          <w:tcPr>
            <w:tcW w:w="1387" w:type="pct"/>
            <w:vAlign w:val="center"/>
          </w:tcPr>
          <w:p>
            <w:pPr>
              <w:snapToGrid w:val="0"/>
              <w:spacing w:line="440" w:lineRule="exact"/>
              <w:jc w:val="center"/>
              <w:rPr>
                <w:rFonts w:ascii="宋体" w:hAnsi="宋体"/>
                <w:szCs w:val="21"/>
              </w:rPr>
            </w:pPr>
            <w:r>
              <w:rPr>
                <w:rFonts w:hint="eastAsia" w:ascii="宋体" w:hAnsi="宋体"/>
                <w:szCs w:val="21"/>
              </w:rPr>
              <w:t>GB/T 8813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5" w:type="pct"/>
          </w:tcPr>
          <w:p>
            <w:pPr>
              <w:snapToGrid w:val="0"/>
              <w:spacing w:line="440" w:lineRule="exact"/>
              <w:jc w:val="center"/>
              <w:rPr>
                <w:rFonts w:ascii="宋体" w:hAnsi="宋体"/>
                <w:szCs w:val="21"/>
              </w:rPr>
            </w:pPr>
            <w:r>
              <w:rPr>
                <w:rFonts w:hint="eastAsia" w:ascii="宋体" w:hAnsi="宋体"/>
                <w:szCs w:val="21"/>
              </w:rPr>
              <w:t>3</w:t>
            </w:r>
          </w:p>
        </w:tc>
        <w:tc>
          <w:tcPr>
            <w:tcW w:w="1605" w:type="pct"/>
            <w:vAlign w:val="center"/>
          </w:tcPr>
          <w:p>
            <w:pPr>
              <w:snapToGrid w:val="0"/>
              <w:spacing w:line="440" w:lineRule="exact"/>
              <w:jc w:val="center"/>
              <w:rPr>
                <w:rFonts w:ascii="宋体" w:hAnsi="宋体"/>
                <w:szCs w:val="21"/>
              </w:rPr>
            </w:pPr>
            <w:r>
              <w:rPr>
                <w:rFonts w:hint="eastAsia" w:ascii="宋体" w:hAnsi="宋体"/>
                <w:szCs w:val="21"/>
              </w:rPr>
              <w:t>导热系数</w:t>
            </w:r>
          </w:p>
        </w:tc>
        <w:tc>
          <w:tcPr>
            <w:tcW w:w="1392" w:type="pct"/>
            <w:vAlign w:val="center"/>
          </w:tcPr>
          <w:p>
            <w:pPr>
              <w:snapToGrid w:val="0"/>
              <w:spacing w:line="440" w:lineRule="exact"/>
              <w:jc w:val="center"/>
              <w:rPr>
                <w:rFonts w:ascii="宋体" w:hAnsi="宋体"/>
                <w:szCs w:val="21"/>
              </w:rPr>
            </w:pPr>
            <w:r>
              <w:rPr>
                <w:rFonts w:hint="eastAsia" w:ascii="宋体" w:hAnsi="宋体"/>
                <w:szCs w:val="21"/>
              </w:rPr>
              <w:t>GB/T 10801.1-2002</w:t>
            </w:r>
          </w:p>
        </w:tc>
        <w:tc>
          <w:tcPr>
            <w:tcW w:w="1387" w:type="pct"/>
            <w:vAlign w:val="center"/>
          </w:tcPr>
          <w:p>
            <w:pPr>
              <w:spacing w:line="400" w:lineRule="exact"/>
              <w:jc w:val="center"/>
              <w:rPr>
                <w:rFonts w:ascii="宋体" w:hAnsi="宋体"/>
                <w:szCs w:val="21"/>
              </w:rPr>
            </w:pPr>
            <w:r>
              <w:rPr>
                <w:rFonts w:hint="eastAsia" w:ascii="宋体" w:hAnsi="宋体"/>
                <w:szCs w:val="21"/>
              </w:rPr>
              <w:t>GB/T 10294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5" w:type="pct"/>
          </w:tcPr>
          <w:p>
            <w:pPr>
              <w:snapToGrid w:val="0"/>
              <w:spacing w:line="440" w:lineRule="exact"/>
              <w:jc w:val="center"/>
              <w:rPr>
                <w:rFonts w:ascii="宋体" w:hAnsi="宋体"/>
                <w:szCs w:val="21"/>
              </w:rPr>
            </w:pPr>
            <w:r>
              <w:rPr>
                <w:rFonts w:hint="eastAsia" w:ascii="宋体" w:hAnsi="宋体"/>
                <w:szCs w:val="21"/>
              </w:rPr>
              <w:t>4</w:t>
            </w:r>
          </w:p>
        </w:tc>
        <w:tc>
          <w:tcPr>
            <w:tcW w:w="1605" w:type="pct"/>
            <w:vAlign w:val="center"/>
          </w:tcPr>
          <w:p>
            <w:pPr>
              <w:snapToGrid w:val="0"/>
              <w:spacing w:line="440" w:lineRule="exact"/>
              <w:jc w:val="center"/>
              <w:rPr>
                <w:rFonts w:ascii="宋体" w:hAnsi="宋体"/>
                <w:szCs w:val="21"/>
              </w:rPr>
            </w:pPr>
            <w:r>
              <w:rPr>
                <w:rFonts w:hint="eastAsia" w:ascii="宋体" w:hAnsi="宋体"/>
                <w:szCs w:val="21"/>
              </w:rPr>
              <w:t>氧指数</w:t>
            </w:r>
            <w:r>
              <w:rPr>
                <w:rFonts w:ascii="宋体" w:hAnsi="宋体"/>
                <w:szCs w:val="21"/>
                <w:vertAlign w:val="superscript"/>
              </w:rPr>
              <w:fldChar w:fldCharType="begin"/>
            </w:r>
            <w:r>
              <w:rPr>
                <w:rFonts w:ascii="宋体" w:hAnsi="宋体"/>
                <w:szCs w:val="21"/>
                <w:vertAlign w:val="superscript"/>
              </w:rPr>
              <w:instrText xml:space="preserve"> </w:instrText>
            </w:r>
            <w:r>
              <w:rPr>
                <w:rFonts w:hint="eastAsia" w:ascii="宋体" w:hAnsi="宋体"/>
                <w:szCs w:val="21"/>
                <w:vertAlign w:val="superscript"/>
              </w:rPr>
              <w:instrText xml:space="preserve">= 1 \* GB3</w:instrText>
            </w:r>
            <w:r>
              <w:rPr>
                <w:rFonts w:ascii="宋体" w:hAnsi="宋体"/>
                <w:szCs w:val="21"/>
                <w:vertAlign w:val="superscript"/>
              </w:rPr>
              <w:instrText xml:space="preserve"> </w:instrText>
            </w:r>
            <w:r>
              <w:rPr>
                <w:rFonts w:ascii="宋体" w:hAnsi="宋体"/>
                <w:szCs w:val="21"/>
                <w:vertAlign w:val="superscript"/>
              </w:rPr>
              <w:fldChar w:fldCharType="separate"/>
            </w:r>
            <w:r>
              <w:rPr>
                <w:rFonts w:hint="eastAsia" w:ascii="宋体" w:hAnsi="宋体"/>
                <w:szCs w:val="21"/>
                <w:vertAlign w:val="superscript"/>
              </w:rPr>
              <w:t>①</w:t>
            </w:r>
            <w:r>
              <w:rPr>
                <w:rFonts w:ascii="宋体" w:hAnsi="宋体"/>
                <w:szCs w:val="21"/>
                <w:vertAlign w:val="superscript"/>
              </w:rPr>
              <w:fldChar w:fldCharType="end"/>
            </w:r>
          </w:p>
        </w:tc>
        <w:tc>
          <w:tcPr>
            <w:tcW w:w="1392" w:type="pct"/>
            <w:vAlign w:val="center"/>
          </w:tcPr>
          <w:p>
            <w:pPr>
              <w:snapToGrid w:val="0"/>
              <w:spacing w:line="440" w:lineRule="exact"/>
              <w:jc w:val="center"/>
              <w:rPr>
                <w:rFonts w:ascii="宋体" w:hAnsi="宋体"/>
                <w:szCs w:val="21"/>
              </w:rPr>
            </w:pPr>
            <w:r>
              <w:rPr>
                <w:rFonts w:hint="eastAsia" w:ascii="宋体" w:hAnsi="宋体"/>
                <w:szCs w:val="21"/>
              </w:rPr>
              <w:t>GB/T 10801.1-2002</w:t>
            </w:r>
          </w:p>
        </w:tc>
        <w:tc>
          <w:tcPr>
            <w:tcW w:w="1387" w:type="pct"/>
            <w:vAlign w:val="center"/>
          </w:tcPr>
          <w:p>
            <w:pPr>
              <w:snapToGrid w:val="0"/>
              <w:spacing w:line="440" w:lineRule="exact"/>
              <w:jc w:val="center"/>
              <w:rPr>
                <w:rFonts w:ascii="宋体" w:hAnsi="宋体"/>
                <w:szCs w:val="21"/>
              </w:rPr>
            </w:pPr>
            <w:r>
              <w:rPr>
                <w:rFonts w:hint="eastAsia" w:ascii="宋体" w:hAnsi="宋体"/>
                <w:szCs w:val="21"/>
              </w:rPr>
              <w:t>GB/T 2406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5" w:type="pct"/>
          </w:tcPr>
          <w:p>
            <w:pPr>
              <w:snapToGrid w:val="0"/>
              <w:spacing w:line="440" w:lineRule="exact"/>
              <w:jc w:val="center"/>
              <w:rPr>
                <w:rFonts w:ascii="宋体" w:hAnsi="宋体"/>
                <w:szCs w:val="21"/>
              </w:rPr>
            </w:pPr>
            <w:r>
              <w:rPr>
                <w:rFonts w:hint="eastAsia" w:ascii="宋体" w:hAnsi="宋体"/>
                <w:szCs w:val="21"/>
              </w:rPr>
              <w:t>5</w:t>
            </w:r>
          </w:p>
        </w:tc>
        <w:tc>
          <w:tcPr>
            <w:tcW w:w="1605" w:type="pct"/>
            <w:vAlign w:val="center"/>
          </w:tcPr>
          <w:p>
            <w:pPr>
              <w:snapToGrid w:val="0"/>
              <w:spacing w:line="440" w:lineRule="exact"/>
              <w:jc w:val="center"/>
              <w:rPr>
                <w:rFonts w:ascii="宋体" w:hAnsi="宋体"/>
                <w:szCs w:val="21"/>
              </w:rPr>
            </w:pPr>
            <w:r>
              <w:rPr>
                <w:rFonts w:hint="eastAsia" w:ascii="宋体" w:hAnsi="宋体"/>
                <w:szCs w:val="21"/>
              </w:rPr>
              <w:t>燃烧分级</w:t>
            </w:r>
            <w:r>
              <w:rPr>
                <w:rFonts w:hint="eastAsia" w:ascii="宋体" w:hAnsi="宋体"/>
                <w:color w:val="000000"/>
                <w:szCs w:val="21"/>
                <w:vertAlign w:val="superscript"/>
              </w:rPr>
              <w:t>②</w:t>
            </w:r>
          </w:p>
        </w:tc>
        <w:tc>
          <w:tcPr>
            <w:tcW w:w="1392" w:type="pct"/>
            <w:vAlign w:val="center"/>
          </w:tcPr>
          <w:p>
            <w:pPr>
              <w:snapToGrid w:val="0"/>
              <w:spacing w:line="440" w:lineRule="exact"/>
              <w:jc w:val="center"/>
              <w:rPr>
                <w:rFonts w:ascii="宋体" w:hAnsi="宋体"/>
                <w:szCs w:val="21"/>
              </w:rPr>
            </w:pPr>
            <w:r>
              <w:rPr>
                <w:rFonts w:hint="eastAsia" w:ascii="宋体" w:hAnsi="宋体"/>
                <w:szCs w:val="21"/>
              </w:rPr>
              <w:t>GB/T 10801.1-2002</w:t>
            </w:r>
          </w:p>
        </w:tc>
        <w:tc>
          <w:tcPr>
            <w:tcW w:w="1387" w:type="pct"/>
            <w:vAlign w:val="center"/>
          </w:tcPr>
          <w:p>
            <w:pPr>
              <w:spacing w:line="400" w:lineRule="exact"/>
              <w:jc w:val="center"/>
              <w:rPr>
                <w:rFonts w:ascii="宋体" w:hAnsi="宋体"/>
                <w:szCs w:val="21"/>
              </w:rPr>
            </w:pPr>
            <w:r>
              <w:rPr>
                <w:rFonts w:hint="eastAsia" w:ascii="宋体" w:hAnsi="宋体"/>
                <w:szCs w:val="21"/>
              </w:rPr>
              <w:t>GB 8624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5" w:type="pct"/>
          </w:tcPr>
          <w:p>
            <w:pPr>
              <w:snapToGrid w:val="0"/>
              <w:spacing w:line="440" w:lineRule="exact"/>
              <w:jc w:val="center"/>
              <w:rPr>
                <w:rFonts w:ascii="宋体" w:hAnsi="宋体"/>
                <w:sz w:val="21"/>
                <w:szCs w:val="21"/>
              </w:rPr>
            </w:pPr>
            <w:r>
              <w:rPr>
                <w:rFonts w:hint="eastAsia" w:ascii="宋体" w:hAnsi="宋体"/>
                <w:sz w:val="21"/>
                <w:szCs w:val="21"/>
              </w:rPr>
              <w:t>备注</w:t>
            </w:r>
          </w:p>
        </w:tc>
        <w:tc>
          <w:tcPr>
            <w:tcW w:w="4384" w:type="pct"/>
            <w:gridSpan w:val="3"/>
            <w:vAlign w:val="center"/>
          </w:tcPr>
          <w:p>
            <w:pPr>
              <w:spacing w:line="400" w:lineRule="exact"/>
              <w:rPr>
                <w:rFonts w:ascii="宋体" w:hAnsi="宋体"/>
                <w:sz w:val="21"/>
                <w:szCs w:val="21"/>
              </w:rPr>
            </w:pPr>
            <w:r>
              <w:rPr>
                <w:rFonts w:hint="eastAsia" w:ascii="宋体" w:hAnsi="宋体"/>
                <w:sz w:val="21"/>
                <w:szCs w:val="21"/>
              </w:rPr>
              <w:fldChar w:fldCharType="begin"/>
            </w:r>
            <w:r>
              <w:rPr>
                <w:rFonts w:hint="eastAsia" w:ascii="宋体" w:hAnsi="宋体"/>
                <w:sz w:val="21"/>
                <w:szCs w:val="21"/>
              </w:rPr>
              <w:instrText xml:space="preserve"> = 1 \* GB3 </w:instrText>
            </w:r>
            <w:r>
              <w:rPr>
                <w:rFonts w:hint="eastAsia" w:ascii="宋体" w:hAnsi="宋体"/>
                <w:sz w:val="21"/>
                <w:szCs w:val="21"/>
              </w:rPr>
              <w:fldChar w:fldCharType="separate"/>
            </w:r>
            <w:r>
              <w:rPr>
                <w:rFonts w:hint="eastAsia" w:ascii="宋体" w:hAnsi="宋体"/>
                <w:sz w:val="21"/>
                <w:szCs w:val="21"/>
              </w:rPr>
              <w:t>①</w:t>
            </w:r>
            <w:r>
              <w:rPr>
                <w:rFonts w:hint="eastAsia" w:ascii="宋体" w:hAnsi="宋体"/>
                <w:sz w:val="21"/>
                <w:szCs w:val="21"/>
              </w:rPr>
              <w:fldChar w:fldCharType="end"/>
            </w:r>
            <w:r>
              <w:rPr>
                <w:rFonts w:hint="eastAsia" w:ascii="宋体" w:hAnsi="宋体"/>
                <w:sz w:val="21"/>
                <w:szCs w:val="21"/>
              </w:rPr>
              <w:t>②</w:t>
            </w:r>
            <w:r>
              <w:rPr>
                <w:rFonts w:hint="eastAsia" w:ascii="宋体" w:hAnsi="宋体"/>
                <w:sz w:val="21"/>
                <w:szCs w:val="21"/>
                <w:lang w:val="en-US" w:eastAsia="zh-CN"/>
              </w:rPr>
              <w:t>仅适用于阻燃型产品</w:t>
            </w:r>
            <w:r>
              <w:rPr>
                <w:rFonts w:hint="eastAsia" w:ascii="宋体" w:hAnsi="宋体"/>
                <w:sz w:val="21"/>
                <w:szCs w:val="21"/>
              </w:rPr>
              <w:t>。</w:t>
            </w:r>
          </w:p>
        </w:tc>
      </w:tr>
    </w:tbl>
    <w:p>
      <w:pPr>
        <w:snapToGrid w:val="0"/>
        <w:spacing w:line="440" w:lineRule="exact"/>
        <w:ind w:firstLine="359" w:firstLineChars="171"/>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ascii="宋体" w:hAnsi="宋体"/>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20" w:firstLineChars="200"/>
        <w:rPr>
          <w:rFonts w:hint="eastAsia" w:ascii="宋体" w:hAnsi="宋体"/>
          <w:szCs w:val="21"/>
        </w:rPr>
      </w:pPr>
      <w:r>
        <w:rPr>
          <w:rFonts w:hint="eastAsia" w:ascii="宋体" w:hAnsi="宋体"/>
          <w:szCs w:val="21"/>
        </w:rPr>
        <w:t>GB/T 10801.1-2002 绝热用模塑聚苯乙烯泡沫塑料</w:t>
      </w:r>
    </w:p>
    <w:p>
      <w:pPr>
        <w:snapToGrid w:val="0"/>
        <w:spacing w:line="440" w:lineRule="exact"/>
        <w:ind w:firstLine="420" w:firstLineChars="200"/>
        <w:rPr>
          <w:rFonts w:hint="eastAsia" w:ascii="宋体" w:hAnsi="宋体"/>
          <w:szCs w:val="21"/>
        </w:rPr>
      </w:pPr>
      <w:r>
        <w:rPr>
          <w:rFonts w:hint="eastAsia" w:ascii="宋体" w:hAnsi="宋体"/>
          <w:szCs w:val="21"/>
        </w:rPr>
        <w:t>相关的法律、行政法规、部门规章、规范性文件</w:t>
      </w:r>
    </w:p>
    <w:p>
      <w:pPr>
        <w:snapToGrid w:val="0"/>
        <w:spacing w:line="440" w:lineRule="exact"/>
        <w:ind w:firstLine="462" w:firstLineChars="22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20"/>
        <w:rPr>
          <w:rFonts w:ascii="宋体" w:hAnsi="宋体"/>
          <w:color w:val="000000"/>
          <w:szCs w:val="21"/>
        </w:rPr>
      </w:pPr>
      <w:r>
        <w:rPr>
          <w:rFonts w:hint="eastAsia" w:ascii="宋体" w:hAnsi="宋体"/>
          <w:color w:val="000000"/>
          <w:szCs w:val="21"/>
        </w:rPr>
        <w:t>3.2.1单项判定</w:t>
      </w:r>
    </w:p>
    <w:p>
      <w:pPr>
        <w:snapToGrid w:val="0"/>
        <w:spacing w:line="440" w:lineRule="exact"/>
        <w:ind w:firstLine="420"/>
        <w:rPr>
          <w:rFonts w:ascii="宋体" w:hAnsi="宋体"/>
          <w:color w:val="000000"/>
          <w:szCs w:val="21"/>
        </w:rPr>
      </w:pPr>
      <w:r>
        <w:rPr>
          <w:rFonts w:hint="eastAsia" w:ascii="宋体" w:hAnsi="宋体"/>
          <w:color w:val="000000"/>
          <w:szCs w:val="21"/>
        </w:rPr>
        <w:t>氧指数、燃烧分级项目</w:t>
      </w:r>
      <w:r>
        <w:rPr>
          <w:rFonts w:hint="eastAsia" w:ascii="宋体" w:hAnsi="宋体" w:cs="仿宋_GB2312"/>
          <w:szCs w:val="21"/>
        </w:rPr>
        <w:t>不符合要求项时，</w:t>
      </w:r>
      <w:r>
        <w:rPr>
          <w:rFonts w:hint="eastAsia" w:ascii="宋体" w:hAnsi="宋体"/>
          <w:color w:val="000000"/>
          <w:szCs w:val="21"/>
        </w:rPr>
        <w:t>则判定该项不合格。</w:t>
      </w:r>
    </w:p>
    <w:p>
      <w:pPr>
        <w:snapToGrid w:val="0"/>
        <w:spacing w:line="440" w:lineRule="exact"/>
        <w:ind w:firstLine="420"/>
        <w:rPr>
          <w:rFonts w:ascii="宋体" w:hAnsi="宋体"/>
          <w:color w:val="000000"/>
          <w:szCs w:val="21"/>
        </w:rPr>
      </w:pPr>
      <w:r>
        <w:rPr>
          <w:rFonts w:hint="eastAsia" w:ascii="宋体" w:hAnsi="宋体"/>
          <w:szCs w:val="21"/>
        </w:rPr>
        <w:t>表观密度、压缩强度、导热系数</w:t>
      </w:r>
      <w:r>
        <w:rPr>
          <w:rFonts w:hint="eastAsia" w:ascii="宋体" w:hAnsi="宋体"/>
          <w:color w:val="000000"/>
          <w:szCs w:val="21"/>
        </w:rPr>
        <w:t>项目中任一项检验结果不符合检验依据要求时，在剩余的检验样品中重新取样对该项目进行双倍复验，如仍不符合要求则判定该项不合格。</w:t>
      </w:r>
    </w:p>
    <w:p>
      <w:pPr>
        <w:snapToGrid w:val="0"/>
        <w:spacing w:line="440" w:lineRule="exact"/>
        <w:ind w:firstLine="420"/>
        <w:rPr>
          <w:rFonts w:ascii="宋体" w:hAnsi="宋体"/>
          <w:color w:val="000000"/>
          <w:szCs w:val="21"/>
        </w:rPr>
      </w:pPr>
      <w:r>
        <w:rPr>
          <w:rFonts w:hint="eastAsia" w:ascii="宋体" w:hAnsi="宋体"/>
          <w:color w:val="000000"/>
          <w:szCs w:val="21"/>
        </w:rPr>
        <w:t>3.2.2综合判定</w:t>
      </w:r>
    </w:p>
    <w:p>
      <w:pPr>
        <w:snapToGrid w:val="0"/>
        <w:spacing w:line="440" w:lineRule="exact"/>
        <w:ind w:firstLine="42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color w:val="FF0000"/>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1C1B"/>
    <w:rsid w:val="0005627A"/>
    <w:rsid w:val="00070677"/>
    <w:rsid w:val="0007289B"/>
    <w:rsid w:val="000938BE"/>
    <w:rsid w:val="000B340C"/>
    <w:rsid w:val="000F47BD"/>
    <w:rsid w:val="001115F1"/>
    <w:rsid w:val="00121A44"/>
    <w:rsid w:val="00126693"/>
    <w:rsid w:val="00176416"/>
    <w:rsid w:val="00176B0C"/>
    <w:rsid w:val="001B245E"/>
    <w:rsid w:val="001E40D1"/>
    <w:rsid w:val="001E4AA8"/>
    <w:rsid w:val="001F3FE8"/>
    <w:rsid w:val="00207F0B"/>
    <w:rsid w:val="002122B4"/>
    <w:rsid w:val="00240531"/>
    <w:rsid w:val="00267D91"/>
    <w:rsid w:val="00272CA1"/>
    <w:rsid w:val="00277D59"/>
    <w:rsid w:val="00292F7F"/>
    <w:rsid w:val="002A7AFD"/>
    <w:rsid w:val="00311865"/>
    <w:rsid w:val="00360E00"/>
    <w:rsid w:val="003808FF"/>
    <w:rsid w:val="00382212"/>
    <w:rsid w:val="004675D7"/>
    <w:rsid w:val="00471F18"/>
    <w:rsid w:val="00473779"/>
    <w:rsid w:val="004C13EF"/>
    <w:rsid w:val="004D6797"/>
    <w:rsid w:val="004E1C1B"/>
    <w:rsid w:val="00512059"/>
    <w:rsid w:val="00513180"/>
    <w:rsid w:val="00553171"/>
    <w:rsid w:val="00556685"/>
    <w:rsid w:val="00591D14"/>
    <w:rsid w:val="005B3386"/>
    <w:rsid w:val="00605616"/>
    <w:rsid w:val="00622E51"/>
    <w:rsid w:val="00623104"/>
    <w:rsid w:val="006538F6"/>
    <w:rsid w:val="00681809"/>
    <w:rsid w:val="006C1714"/>
    <w:rsid w:val="006E1912"/>
    <w:rsid w:val="006E7112"/>
    <w:rsid w:val="00725683"/>
    <w:rsid w:val="00757524"/>
    <w:rsid w:val="007618B1"/>
    <w:rsid w:val="007652FF"/>
    <w:rsid w:val="00812AE6"/>
    <w:rsid w:val="00813A0F"/>
    <w:rsid w:val="00814659"/>
    <w:rsid w:val="00833FE3"/>
    <w:rsid w:val="008C2A44"/>
    <w:rsid w:val="008C4CED"/>
    <w:rsid w:val="008C582C"/>
    <w:rsid w:val="008E46F3"/>
    <w:rsid w:val="008E6FAA"/>
    <w:rsid w:val="009065F9"/>
    <w:rsid w:val="009137B2"/>
    <w:rsid w:val="00916257"/>
    <w:rsid w:val="009218FD"/>
    <w:rsid w:val="00923029"/>
    <w:rsid w:val="0097606A"/>
    <w:rsid w:val="009B0746"/>
    <w:rsid w:val="009C5D60"/>
    <w:rsid w:val="009E25FA"/>
    <w:rsid w:val="009E3FA0"/>
    <w:rsid w:val="00A02043"/>
    <w:rsid w:val="00A0626D"/>
    <w:rsid w:val="00A30649"/>
    <w:rsid w:val="00A67D77"/>
    <w:rsid w:val="00A86FE8"/>
    <w:rsid w:val="00A871CD"/>
    <w:rsid w:val="00A957C3"/>
    <w:rsid w:val="00AB2335"/>
    <w:rsid w:val="00AE66F8"/>
    <w:rsid w:val="00AF0ECD"/>
    <w:rsid w:val="00AF7D1B"/>
    <w:rsid w:val="00B50BA4"/>
    <w:rsid w:val="00B61E92"/>
    <w:rsid w:val="00B90E8F"/>
    <w:rsid w:val="00B918EF"/>
    <w:rsid w:val="00BD6C92"/>
    <w:rsid w:val="00BE42E1"/>
    <w:rsid w:val="00C64E58"/>
    <w:rsid w:val="00CA1AE0"/>
    <w:rsid w:val="00CF15A0"/>
    <w:rsid w:val="00CF41B3"/>
    <w:rsid w:val="00D0415C"/>
    <w:rsid w:val="00D2319E"/>
    <w:rsid w:val="00D235D3"/>
    <w:rsid w:val="00D736E1"/>
    <w:rsid w:val="00DA34AF"/>
    <w:rsid w:val="00DB1A1F"/>
    <w:rsid w:val="00DC4B95"/>
    <w:rsid w:val="00DD5955"/>
    <w:rsid w:val="00E85A66"/>
    <w:rsid w:val="00EB1677"/>
    <w:rsid w:val="00EF5E2D"/>
    <w:rsid w:val="00F05AD7"/>
    <w:rsid w:val="00F26910"/>
    <w:rsid w:val="00F75F78"/>
    <w:rsid w:val="00F762D5"/>
    <w:rsid w:val="00FC20E1"/>
    <w:rsid w:val="01F140AB"/>
    <w:rsid w:val="1D961D06"/>
    <w:rsid w:val="49A405B9"/>
    <w:rsid w:val="5A884655"/>
    <w:rsid w:val="793C6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8">
    <w:name w:val="page number"/>
    <w:basedOn w:val="7"/>
    <w:uiPriority w:val="0"/>
  </w:style>
  <w:style w:type="character" w:customStyle="1" w:styleId="9">
    <w:name w:val="页脚 Char"/>
    <w:basedOn w:val="7"/>
    <w:link w:val="3"/>
    <w:qFormat/>
    <w:uiPriority w:val="99"/>
    <w:rPr>
      <w:sz w:val="18"/>
      <w:szCs w:val="18"/>
    </w:rPr>
  </w:style>
  <w:style w:type="character" w:customStyle="1" w:styleId="10">
    <w:name w:val="页眉 Char"/>
    <w:basedOn w:val="7"/>
    <w:link w:val="4"/>
    <w:qFormat/>
    <w:uiPriority w:val="99"/>
    <w:rPr>
      <w:sz w:val="18"/>
      <w:szCs w:val="18"/>
    </w:rPr>
  </w:style>
  <w:style w:type="character" w:customStyle="1" w:styleId="11">
    <w:name w:val="页脚 Char1"/>
    <w:basedOn w:val="7"/>
    <w:link w:val="3"/>
    <w:semiHidden/>
    <w:qFormat/>
    <w:uiPriority w:val="99"/>
    <w:rPr>
      <w:rFonts w:ascii="Times New Roman" w:hAnsi="Times New Roman" w:eastAsia="宋体" w:cs="Times New Roman"/>
      <w:sz w:val="18"/>
      <w:szCs w:val="18"/>
    </w:rPr>
  </w:style>
  <w:style w:type="character" w:customStyle="1" w:styleId="12">
    <w:name w:val="页眉 Char1"/>
    <w:basedOn w:val="7"/>
    <w:link w:val="4"/>
    <w:semiHidden/>
    <w:qFormat/>
    <w:uiPriority w:val="99"/>
    <w:rPr>
      <w:rFonts w:ascii="Times New Roman" w:hAnsi="Times New Roman" w:eastAsia="宋体" w:cs="Times New Roman"/>
      <w:sz w:val="18"/>
      <w:szCs w:val="18"/>
    </w:rPr>
  </w:style>
  <w:style w:type="character" w:customStyle="1" w:styleId="13">
    <w:name w:val="批注框文本 Char"/>
    <w:basedOn w:val="7"/>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157</Words>
  <Characters>897</Characters>
  <Lines>7</Lines>
  <Paragraphs>2</Paragraphs>
  <TotalTime>0</TotalTime>
  <ScaleCrop>false</ScaleCrop>
  <LinksUpToDate>false</LinksUpToDate>
  <CharactersWithSpaces>1052</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2020-03-09T06:44:00Z</dcterms:created>
  <dc:creator>pc</dc:creator>
  <cp:lastModifiedBy>HP</cp:lastModifiedBy>
  <dcterms:modified xsi:type="dcterms:W3CDTF">2020-05-08T08:53:42Z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