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重庆市绝热用挤塑聚苯乙烯泡沫塑料产品</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质量监督抽查实施细则（2020年</w:t>
      </w:r>
      <w:r>
        <w:rPr>
          <w:rFonts w:hint="eastAsia" w:ascii="方正小标宋简体" w:hAnsi="仿宋" w:eastAsia="方正小标宋简体" w:cs="方正仿宋简体"/>
          <w:color w:val="000000"/>
          <w:sz w:val="32"/>
          <w:szCs w:val="32"/>
          <w:lang w:val="en-US" w:eastAsia="zh-CN"/>
        </w:rPr>
        <w:t>二季度</w:t>
      </w:r>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的待销产品中随机抽取有产品质量检验合格证明或者以其他形式表明合格的、且自2019年7月1日以后生产放置90天以上的产品。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szCs w:val="21"/>
        </w:rPr>
        <w:t>每批次产品抽取尺寸不小于900mm×600mm。燃烧性能声称为B</w:t>
      </w:r>
      <w:r>
        <w:rPr>
          <w:rFonts w:hint="eastAsia" w:ascii="宋体" w:hAnsi="宋体"/>
          <w:szCs w:val="21"/>
          <w:vertAlign w:val="subscript"/>
        </w:rPr>
        <w:t>1</w:t>
      </w:r>
      <w:r>
        <w:rPr>
          <w:rFonts w:hint="eastAsia" w:ascii="宋体" w:hAnsi="宋体"/>
          <w:szCs w:val="21"/>
        </w:rPr>
        <w:t>级，需要44块，其中22块为检验样品，22块为备用样品。若燃烧性能声称为B</w:t>
      </w:r>
      <w:r>
        <w:rPr>
          <w:rFonts w:hint="eastAsia" w:ascii="宋体" w:hAnsi="宋体"/>
          <w:szCs w:val="21"/>
          <w:vertAlign w:val="subscript"/>
        </w:rPr>
        <w:t>2</w:t>
      </w:r>
      <w:r>
        <w:rPr>
          <w:rFonts w:hint="eastAsia" w:ascii="宋体" w:hAnsi="宋体"/>
          <w:szCs w:val="21"/>
        </w:rPr>
        <w:t>级，需要8块，其中4块为检验样品，4块为备用样品。备用样品</w:t>
      </w:r>
      <w:r>
        <w:rPr>
          <w:rFonts w:hint="eastAsia" w:ascii="宋体" w:hAnsi="宋体"/>
          <w:szCs w:val="21"/>
          <w:lang w:val="en-US" w:eastAsia="zh-CN"/>
        </w:rPr>
        <w:t>留</w:t>
      </w:r>
      <w:r>
        <w:rPr>
          <w:rFonts w:hint="eastAsia" w:ascii="宋体" w:hAnsi="宋体"/>
          <w:szCs w:val="21"/>
        </w:rPr>
        <w:t>存于承检机构。</w:t>
      </w:r>
      <w:r>
        <w:rPr>
          <w:rFonts w:hint="eastAsia" w:ascii="宋体" w:hAnsi="宋体"/>
          <w:color w:val="000000"/>
          <w:szCs w:val="21"/>
        </w:rPr>
        <w:t>随机数一般可使用随机数表、随机数骰子或扑克牌等方法产生。</w:t>
      </w:r>
    </w:p>
    <w:p>
      <w:pPr>
        <w:snapToGrid w:val="0"/>
        <w:spacing w:line="440" w:lineRule="exact"/>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表1  检验项目和检验方法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1843"/>
        <w:gridCol w:w="2268"/>
        <w:gridCol w:w="2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959"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3544" w:type="dxa"/>
            <w:gridSpan w:val="2"/>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268"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402"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3544" w:type="dxa"/>
            <w:gridSpan w:val="2"/>
            <w:vAlign w:val="center"/>
          </w:tcPr>
          <w:p>
            <w:pPr>
              <w:snapToGrid w:val="0"/>
              <w:spacing w:line="440" w:lineRule="exact"/>
              <w:jc w:val="center"/>
              <w:rPr>
                <w:rFonts w:ascii="宋体" w:hAnsi="宋体"/>
                <w:szCs w:val="21"/>
              </w:rPr>
            </w:pPr>
            <w:r>
              <w:rPr>
                <w:rFonts w:hint="eastAsia" w:ascii="宋体" w:hAnsi="宋体"/>
                <w:szCs w:val="21"/>
              </w:rPr>
              <w:t>压缩强度</w:t>
            </w:r>
          </w:p>
        </w:tc>
        <w:tc>
          <w:tcPr>
            <w:tcW w:w="2268" w:type="dxa"/>
            <w:vAlign w:val="center"/>
          </w:tcPr>
          <w:p>
            <w:pPr>
              <w:spacing w:line="400" w:lineRule="exact"/>
              <w:jc w:val="center"/>
              <w:rPr>
                <w:rFonts w:ascii="宋体" w:hAnsi="宋体"/>
                <w:szCs w:val="21"/>
              </w:rPr>
            </w:pPr>
            <w:r>
              <w:rPr>
                <w:rFonts w:hint="eastAsia" w:ascii="宋体" w:hAnsi="宋体"/>
                <w:szCs w:val="21"/>
              </w:rPr>
              <w:t>GB/T 10801.2-2018</w:t>
            </w:r>
          </w:p>
        </w:tc>
        <w:tc>
          <w:tcPr>
            <w:tcW w:w="2402" w:type="dxa"/>
            <w:vAlign w:val="center"/>
          </w:tcPr>
          <w:p>
            <w:pPr>
              <w:spacing w:line="400" w:lineRule="exact"/>
              <w:jc w:val="center"/>
              <w:rPr>
                <w:rFonts w:ascii="宋体" w:hAnsi="宋体"/>
                <w:szCs w:val="21"/>
              </w:rPr>
            </w:pPr>
            <w:r>
              <w:rPr>
                <w:rFonts w:hint="eastAsia" w:ascii="宋体" w:hAnsi="宋体"/>
                <w:szCs w:val="21"/>
              </w:rPr>
              <w:t>GB/T 8813-2008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701" w:type="dxa"/>
            <w:vMerge w:val="restart"/>
            <w:vAlign w:val="center"/>
          </w:tcPr>
          <w:p>
            <w:pPr>
              <w:snapToGrid w:val="0"/>
              <w:spacing w:line="440" w:lineRule="exact"/>
              <w:jc w:val="center"/>
              <w:rPr>
                <w:rFonts w:ascii="宋体" w:hAnsi="宋体"/>
                <w:szCs w:val="21"/>
              </w:rPr>
            </w:pPr>
            <w:r>
              <w:rPr>
                <w:rFonts w:hint="eastAsia" w:ascii="宋体" w:hAnsi="宋体"/>
                <w:szCs w:val="21"/>
              </w:rPr>
              <w:t>热阻</w:t>
            </w:r>
          </w:p>
          <w:p>
            <w:pPr>
              <w:snapToGrid w:val="0"/>
              <w:spacing w:line="440" w:lineRule="exact"/>
              <w:jc w:val="center"/>
              <w:rPr>
                <w:rFonts w:ascii="宋体" w:hAnsi="宋体"/>
                <w:szCs w:val="21"/>
              </w:rPr>
            </w:pPr>
            <w:r>
              <w:rPr>
                <w:rFonts w:hint="eastAsia" w:ascii="宋体" w:hAnsi="宋体"/>
                <w:szCs w:val="21"/>
              </w:rPr>
              <w:t>（厚度25mm时）</w:t>
            </w:r>
          </w:p>
        </w:tc>
        <w:tc>
          <w:tcPr>
            <w:tcW w:w="1843" w:type="dxa"/>
            <w:vAlign w:val="center"/>
          </w:tcPr>
          <w:p>
            <w:pPr>
              <w:snapToGrid w:val="0"/>
              <w:spacing w:line="440" w:lineRule="exact"/>
              <w:jc w:val="center"/>
              <w:rPr>
                <w:rFonts w:ascii="宋体" w:hAnsi="宋体"/>
                <w:szCs w:val="21"/>
              </w:rPr>
            </w:pPr>
            <w:r>
              <w:rPr>
                <w:rFonts w:hint="eastAsia" w:ascii="宋体" w:hAnsi="宋体"/>
                <w:szCs w:val="21"/>
              </w:rPr>
              <w:t>平均温度10℃</w:t>
            </w:r>
          </w:p>
        </w:tc>
        <w:tc>
          <w:tcPr>
            <w:tcW w:w="2268" w:type="dxa"/>
            <w:vAlign w:val="center"/>
          </w:tcPr>
          <w:p>
            <w:pPr>
              <w:spacing w:line="400" w:lineRule="exact"/>
              <w:jc w:val="center"/>
              <w:rPr>
                <w:rFonts w:ascii="宋体" w:hAnsi="宋体"/>
                <w:szCs w:val="21"/>
              </w:rPr>
            </w:pPr>
            <w:r>
              <w:rPr>
                <w:rFonts w:hint="eastAsia" w:ascii="宋体" w:hAnsi="宋体"/>
                <w:szCs w:val="21"/>
              </w:rPr>
              <w:t>GB/T 10801.2-2018</w:t>
            </w:r>
          </w:p>
        </w:tc>
        <w:tc>
          <w:tcPr>
            <w:tcW w:w="2402" w:type="dxa"/>
            <w:vMerge w:val="restart"/>
            <w:vAlign w:val="center"/>
          </w:tcPr>
          <w:p>
            <w:pPr>
              <w:spacing w:line="400" w:lineRule="exact"/>
              <w:jc w:val="center"/>
              <w:rPr>
                <w:rFonts w:ascii="宋体" w:hAnsi="宋体"/>
                <w:szCs w:val="21"/>
              </w:rPr>
            </w:pPr>
            <w:r>
              <w:rPr>
                <w:rFonts w:hint="eastAsia" w:ascii="宋体" w:hAnsi="宋体"/>
                <w:szCs w:val="21"/>
              </w:rPr>
              <w:t>GB/T 10294-2008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701" w:type="dxa"/>
            <w:vMerge w:val="continue"/>
            <w:vAlign w:val="center"/>
          </w:tcPr>
          <w:p>
            <w:pPr>
              <w:snapToGrid w:val="0"/>
              <w:spacing w:line="440" w:lineRule="exact"/>
              <w:jc w:val="center"/>
              <w:rPr>
                <w:rFonts w:ascii="宋体" w:hAnsi="宋体"/>
                <w:szCs w:val="21"/>
              </w:rPr>
            </w:pPr>
          </w:p>
        </w:tc>
        <w:tc>
          <w:tcPr>
            <w:tcW w:w="1843" w:type="dxa"/>
            <w:vAlign w:val="center"/>
          </w:tcPr>
          <w:p>
            <w:pPr>
              <w:spacing w:line="400" w:lineRule="exact"/>
              <w:jc w:val="center"/>
              <w:rPr>
                <w:rFonts w:ascii="宋体" w:hAnsi="宋体"/>
                <w:szCs w:val="21"/>
              </w:rPr>
            </w:pPr>
            <w:r>
              <w:rPr>
                <w:rFonts w:hint="eastAsia" w:ascii="宋体" w:hAnsi="宋体"/>
                <w:szCs w:val="21"/>
              </w:rPr>
              <w:t>平均温度25℃</w:t>
            </w:r>
          </w:p>
        </w:tc>
        <w:tc>
          <w:tcPr>
            <w:tcW w:w="2268" w:type="dxa"/>
            <w:vAlign w:val="center"/>
          </w:tcPr>
          <w:p>
            <w:pPr>
              <w:spacing w:line="400" w:lineRule="exact"/>
              <w:jc w:val="center"/>
              <w:rPr>
                <w:rFonts w:ascii="宋体" w:hAnsi="宋体"/>
                <w:szCs w:val="21"/>
              </w:rPr>
            </w:pPr>
            <w:r>
              <w:rPr>
                <w:rFonts w:hint="eastAsia" w:ascii="宋体" w:hAnsi="宋体"/>
                <w:szCs w:val="21"/>
              </w:rPr>
              <w:t>GB/T 10801.2-2018</w:t>
            </w:r>
          </w:p>
        </w:tc>
        <w:tc>
          <w:tcPr>
            <w:tcW w:w="2402" w:type="dxa"/>
            <w:vMerge w:val="continue"/>
            <w:vAlign w:val="center"/>
          </w:tcPr>
          <w:p>
            <w:pPr>
              <w:spacing w:line="4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701" w:type="dxa"/>
            <w:vMerge w:val="restart"/>
            <w:vAlign w:val="center"/>
          </w:tcPr>
          <w:p>
            <w:pPr>
              <w:snapToGrid w:val="0"/>
              <w:spacing w:line="440" w:lineRule="exact"/>
              <w:jc w:val="center"/>
              <w:rPr>
                <w:rFonts w:ascii="宋体" w:hAnsi="宋体"/>
                <w:szCs w:val="21"/>
              </w:rPr>
            </w:pPr>
            <w:r>
              <w:rPr>
                <w:rFonts w:hint="eastAsia" w:ascii="宋体" w:hAnsi="宋体"/>
                <w:szCs w:val="21"/>
              </w:rPr>
              <w:t>导热系数</w:t>
            </w:r>
          </w:p>
        </w:tc>
        <w:tc>
          <w:tcPr>
            <w:tcW w:w="1843" w:type="dxa"/>
            <w:vAlign w:val="center"/>
          </w:tcPr>
          <w:p>
            <w:pPr>
              <w:spacing w:line="400" w:lineRule="exact"/>
              <w:jc w:val="center"/>
              <w:rPr>
                <w:rFonts w:ascii="宋体" w:hAnsi="宋体"/>
                <w:szCs w:val="21"/>
              </w:rPr>
            </w:pPr>
            <w:r>
              <w:rPr>
                <w:rFonts w:hint="eastAsia" w:ascii="宋体" w:hAnsi="宋体"/>
                <w:szCs w:val="21"/>
              </w:rPr>
              <w:t>平均温度10℃</w:t>
            </w:r>
          </w:p>
        </w:tc>
        <w:tc>
          <w:tcPr>
            <w:tcW w:w="2268" w:type="dxa"/>
            <w:vAlign w:val="center"/>
          </w:tcPr>
          <w:p>
            <w:pPr>
              <w:spacing w:line="400" w:lineRule="exact"/>
              <w:jc w:val="center"/>
              <w:rPr>
                <w:rFonts w:ascii="宋体" w:hAnsi="宋体"/>
                <w:szCs w:val="21"/>
              </w:rPr>
            </w:pPr>
            <w:r>
              <w:rPr>
                <w:rFonts w:hint="eastAsia" w:ascii="宋体" w:hAnsi="宋体"/>
                <w:szCs w:val="21"/>
              </w:rPr>
              <w:t>GB/T 10801.2-2018</w:t>
            </w:r>
          </w:p>
        </w:tc>
        <w:tc>
          <w:tcPr>
            <w:tcW w:w="2402" w:type="dxa"/>
            <w:vMerge w:val="continue"/>
            <w:vAlign w:val="center"/>
          </w:tcPr>
          <w:p>
            <w:pPr>
              <w:spacing w:line="4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701" w:type="dxa"/>
            <w:vMerge w:val="continue"/>
            <w:vAlign w:val="center"/>
          </w:tcPr>
          <w:p>
            <w:pPr>
              <w:snapToGrid w:val="0"/>
              <w:spacing w:line="440" w:lineRule="exact"/>
              <w:jc w:val="center"/>
              <w:rPr>
                <w:rFonts w:ascii="宋体" w:hAnsi="宋体"/>
                <w:szCs w:val="21"/>
              </w:rPr>
            </w:pPr>
          </w:p>
        </w:tc>
        <w:tc>
          <w:tcPr>
            <w:tcW w:w="1843" w:type="dxa"/>
            <w:vAlign w:val="center"/>
          </w:tcPr>
          <w:p>
            <w:pPr>
              <w:spacing w:line="400" w:lineRule="exact"/>
              <w:jc w:val="center"/>
              <w:rPr>
                <w:rFonts w:ascii="宋体" w:hAnsi="宋体"/>
                <w:szCs w:val="21"/>
              </w:rPr>
            </w:pPr>
            <w:r>
              <w:rPr>
                <w:rFonts w:hint="eastAsia" w:ascii="宋体" w:hAnsi="宋体"/>
                <w:szCs w:val="21"/>
              </w:rPr>
              <w:t>平均温度25℃</w:t>
            </w:r>
          </w:p>
        </w:tc>
        <w:tc>
          <w:tcPr>
            <w:tcW w:w="2268" w:type="dxa"/>
            <w:vAlign w:val="center"/>
          </w:tcPr>
          <w:p>
            <w:pPr>
              <w:spacing w:line="400" w:lineRule="exact"/>
              <w:jc w:val="center"/>
              <w:rPr>
                <w:rFonts w:ascii="宋体" w:hAnsi="宋体"/>
                <w:szCs w:val="21"/>
              </w:rPr>
            </w:pPr>
            <w:r>
              <w:rPr>
                <w:rFonts w:hint="eastAsia" w:ascii="宋体" w:hAnsi="宋体"/>
                <w:szCs w:val="21"/>
              </w:rPr>
              <w:t>GB/T 10801.2-2018</w:t>
            </w:r>
          </w:p>
        </w:tc>
        <w:tc>
          <w:tcPr>
            <w:tcW w:w="2402" w:type="dxa"/>
            <w:vMerge w:val="continue"/>
            <w:vAlign w:val="center"/>
          </w:tcPr>
          <w:p>
            <w:pPr>
              <w:spacing w:line="4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3544" w:type="dxa"/>
            <w:gridSpan w:val="2"/>
            <w:vAlign w:val="center"/>
          </w:tcPr>
          <w:p>
            <w:pPr>
              <w:snapToGrid w:val="0"/>
              <w:spacing w:line="440" w:lineRule="exact"/>
              <w:jc w:val="center"/>
              <w:rPr>
                <w:rFonts w:ascii="宋体" w:hAnsi="宋体"/>
                <w:color w:val="000000"/>
                <w:szCs w:val="21"/>
              </w:rPr>
            </w:pPr>
            <w:r>
              <w:rPr>
                <w:rFonts w:hint="eastAsia" w:ascii="宋体" w:hAnsi="宋体"/>
                <w:szCs w:val="21"/>
              </w:rPr>
              <w:t>燃烧性能</w:t>
            </w:r>
            <w:r>
              <w:rPr>
                <w:rFonts w:ascii="宋体" w:hAnsi="宋体"/>
                <w:szCs w:val="21"/>
                <w:vertAlign w:val="superscript"/>
              </w:rPr>
              <w:fldChar w:fldCharType="begin"/>
            </w:r>
            <w:r>
              <w:rPr>
                <w:rFonts w:ascii="宋体" w:hAnsi="宋体"/>
                <w:szCs w:val="21"/>
                <w:vertAlign w:val="superscript"/>
              </w:rPr>
              <w:instrText xml:space="preserve"> </w:instrText>
            </w:r>
            <w:r>
              <w:rPr>
                <w:rFonts w:hint="eastAsia" w:ascii="宋体" w:hAnsi="宋体"/>
                <w:szCs w:val="21"/>
                <w:vertAlign w:val="superscript"/>
              </w:rPr>
              <w:instrText xml:space="preserve">= 1 \* GB3</w:instrText>
            </w:r>
            <w:r>
              <w:rPr>
                <w:rFonts w:ascii="宋体" w:hAnsi="宋体"/>
                <w:szCs w:val="21"/>
                <w:vertAlign w:val="superscript"/>
              </w:rPr>
              <w:instrText xml:space="preserve"> </w:instrText>
            </w:r>
            <w:r>
              <w:rPr>
                <w:rFonts w:ascii="宋体" w:hAnsi="宋体"/>
                <w:szCs w:val="21"/>
                <w:vertAlign w:val="superscript"/>
              </w:rPr>
              <w:fldChar w:fldCharType="separate"/>
            </w:r>
            <w:r>
              <w:rPr>
                <w:rFonts w:hint="eastAsia" w:ascii="宋体" w:hAnsi="宋体"/>
                <w:szCs w:val="21"/>
                <w:vertAlign w:val="superscript"/>
              </w:rPr>
              <w:t>①</w:t>
            </w:r>
            <w:r>
              <w:rPr>
                <w:rFonts w:ascii="宋体" w:hAnsi="宋体"/>
                <w:szCs w:val="21"/>
                <w:vertAlign w:val="superscript"/>
              </w:rPr>
              <w:fldChar w:fldCharType="end"/>
            </w:r>
          </w:p>
        </w:tc>
        <w:tc>
          <w:tcPr>
            <w:tcW w:w="2268" w:type="dxa"/>
            <w:vAlign w:val="center"/>
          </w:tcPr>
          <w:p>
            <w:pPr>
              <w:spacing w:line="400" w:lineRule="exact"/>
              <w:jc w:val="center"/>
              <w:rPr>
                <w:rFonts w:ascii="宋体" w:hAnsi="宋体"/>
                <w:szCs w:val="21"/>
              </w:rPr>
            </w:pPr>
            <w:r>
              <w:rPr>
                <w:rFonts w:hint="eastAsia" w:ascii="宋体" w:hAnsi="宋体"/>
                <w:szCs w:val="21"/>
              </w:rPr>
              <w:t>GB/T 10801.2-2018</w:t>
            </w:r>
          </w:p>
        </w:tc>
        <w:tc>
          <w:tcPr>
            <w:tcW w:w="2402" w:type="dxa"/>
            <w:vAlign w:val="center"/>
          </w:tcPr>
          <w:p>
            <w:pPr>
              <w:spacing w:line="400" w:lineRule="exact"/>
              <w:jc w:val="center"/>
              <w:rPr>
                <w:rFonts w:hint="default" w:ascii="宋体" w:hAnsi="宋体" w:eastAsia="宋体"/>
                <w:szCs w:val="21"/>
                <w:lang w:val="en-US" w:eastAsia="zh-CN"/>
              </w:rPr>
            </w:pPr>
            <w:r>
              <w:rPr>
                <w:rFonts w:hint="eastAsia" w:ascii="宋体" w:hAnsi="宋体"/>
                <w:szCs w:val="21"/>
              </w:rPr>
              <w:t xml:space="preserve">GB </w:t>
            </w:r>
            <w:r>
              <w:rPr>
                <w:rFonts w:hint="eastAsia" w:ascii="宋体" w:hAnsi="宋体"/>
                <w:szCs w:val="21"/>
                <w:lang w:val="en-US" w:eastAsia="zh-CN"/>
              </w:rPr>
              <w:t>8624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959"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c>
          <w:tcPr>
            <w:tcW w:w="8214" w:type="dxa"/>
            <w:gridSpan w:val="4"/>
            <w:vAlign w:val="center"/>
          </w:tcPr>
          <w:p>
            <w:pPr>
              <w:snapToGrid w:val="0"/>
              <w:spacing w:line="440" w:lineRule="exact"/>
              <w:rPr>
                <w:rFonts w:ascii="宋体" w:hAnsi="宋体"/>
                <w:szCs w:val="21"/>
              </w:rPr>
            </w:pPr>
            <w:r>
              <w:rPr>
                <w:rFonts w:hint="eastAsia" w:ascii="宋体" w:hAnsi="宋体"/>
                <w:color w:val="000000"/>
                <w:szCs w:val="21"/>
              </w:rPr>
              <w:fldChar w:fldCharType="begin"/>
            </w:r>
            <w:r>
              <w:rPr>
                <w:rFonts w:hint="eastAsia" w:ascii="宋体" w:hAnsi="宋体"/>
                <w:color w:val="000000"/>
                <w:szCs w:val="21"/>
              </w:rPr>
              <w:instrText xml:space="preserve"> = 1 \* GB3 </w:instrText>
            </w:r>
            <w:r>
              <w:rPr>
                <w:rFonts w:hint="eastAsia" w:ascii="宋体" w:hAnsi="宋体"/>
                <w:color w:val="000000"/>
                <w:szCs w:val="21"/>
              </w:rPr>
              <w:fldChar w:fldCharType="separate"/>
            </w:r>
            <w:r>
              <w:rPr>
                <w:rFonts w:hint="eastAsia" w:ascii="宋体" w:hAnsi="宋体"/>
                <w:color w:val="000000"/>
                <w:szCs w:val="21"/>
              </w:rPr>
              <w:t>①</w:t>
            </w:r>
            <w:r>
              <w:rPr>
                <w:rFonts w:hint="eastAsia" w:ascii="宋体" w:hAnsi="宋体"/>
                <w:color w:val="000000"/>
                <w:szCs w:val="21"/>
              </w:rPr>
              <w:fldChar w:fldCharType="end"/>
            </w:r>
            <w:r>
              <w:rPr>
                <w:rFonts w:hint="eastAsia" w:ascii="宋体" w:hAnsi="宋体"/>
                <w:color w:val="000000"/>
                <w:szCs w:val="21"/>
              </w:rPr>
              <w:t>不做燃烧性能附加信息中的项目（产烟性能等级、燃烧滴落物/微粒等级和烟气毒性等级）。</w:t>
            </w:r>
          </w:p>
        </w:tc>
      </w:tr>
    </w:tbl>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hint="eastAsia"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hint="eastAsia" w:ascii="宋体" w:hAnsi="宋体"/>
          <w:szCs w:val="21"/>
        </w:rPr>
      </w:pPr>
      <w:r>
        <w:rPr>
          <w:rFonts w:hint="eastAsia" w:ascii="宋体" w:hAnsi="宋体"/>
          <w:szCs w:val="21"/>
        </w:rPr>
        <w:t>GB/T 10801.2-2018 绝热用挤塑聚苯乙烯泡沫塑料(XPS)</w:t>
      </w:r>
    </w:p>
    <w:p>
      <w:pPr>
        <w:snapToGrid w:val="0"/>
        <w:spacing w:line="440" w:lineRule="exact"/>
        <w:ind w:firstLine="462" w:firstLineChars="220"/>
        <w:rPr>
          <w:rFonts w:hint="eastAsia"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bookmarkStart w:id="0" w:name="_GoBack"/>
      <w:bookmarkEnd w:id="0"/>
    </w:p>
    <w:p>
      <w:pPr>
        <w:snapToGrid w:val="0"/>
        <w:spacing w:line="440" w:lineRule="exact"/>
        <w:ind w:firstLine="420"/>
        <w:rPr>
          <w:rFonts w:hint="eastAsia" w:ascii="宋体" w:hAnsi="宋体"/>
          <w:color w:val="000000"/>
          <w:szCs w:val="21"/>
        </w:rPr>
      </w:pPr>
      <w:r>
        <w:rPr>
          <w:rFonts w:hint="eastAsia" w:ascii="宋体" w:hAnsi="宋体"/>
          <w:color w:val="000000"/>
          <w:szCs w:val="21"/>
        </w:rPr>
        <w:t>3.2.1单项判定</w:t>
      </w:r>
    </w:p>
    <w:p>
      <w:pPr>
        <w:snapToGrid w:val="0"/>
        <w:spacing w:line="440" w:lineRule="exact"/>
        <w:ind w:firstLine="420"/>
        <w:rPr>
          <w:rFonts w:hint="eastAsia" w:ascii="宋体" w:hAnsi="宋体"/>
          <w:color w:val="000000"/>
          <w:szCs w:val="21"/>
        </w:rPr>
      </w:pPr>
      <w:r>
        <w:rPr>
          <w:rFonts w:hint="eastAsia" w:ascii="宋体" w:hAnsi="宋体"/>
          <w:color w:val="000000"/>
          <w:szCs w:val="21"/>
        </w:rPr>
        <w:t>燃烧性能项目</w:t>
      </w:r>
      <w:r>
        <w:rPr>
          <w:rFonts w:hint="eastAsia" w:ascii="宋体" w:hAnsi="宋体" w:cs="仿宋_GB2312"/>
          <w:szCs w:val="21"/>
        </w:rPr>
        <w:t>不符合要求项时，</w:t>
      </w:r>
      <w:r>
        <w:rPr>
          <w:rFonts w:hint="eastAsia" w:ascii="宋体" w:hAnsi="宋体"/>
          <w:color w:val="000000"/>
          <w:szCs w:val="21"/>
        </w:rPr>
        <w:t>则判定该项不合格。</w:t>
      </w:r>
    </w:p>
    <w:p>
      <w:pPr>
        <w:snapToGrid w:val="0"/>
        <w:spacing w:line="440" w:lineRule="exact"/>
        <w:ind w:firstLine="420"/>
        <w:rPr>
          <w:rFonts w:hint="eastAsia" w:ascii="宋体" w:hAnsi="宋体"/>
          <w:color w:val="000000"/>
          <w:szCs w:val="21"/>
        </w:rPr>
      </w:pPr>
      <w:r>
        <w:rPr>
          <w:rFonts w:hint="eastAsia" w:ascii="宋体" w:hAnsi="宋体"/>
          <w:szCs w:val="21"/>
        </w:rPr>
        <w:t>压缩强度、热阻、导热系数</w:t>
      </w:r>
      <w:r>
        <w:rPr>
          <w:rFonts w:hint="eastAsia" w:ascii="宋体" w:hAnsi="宋体"/>
          <w:color w:val="000000"/>
          <w:szCs w:val="21"/>
        </w:rPr>
        <w:t>项目中任一项检验结果不符合检验依据要求时，在剩余的检验样品中重新取样对该项目进行双倍复验，如仍不符合要求则判定该项不合格。</w:t>
      </w:r>
    </w:p>
    <w:p>
      <w:pPr>
        <w:snapToGrid w:val="0"/>
        <w:spacing w:line="440" w:lineRule="exact"/>
        <w:ind w:firstLine="420"/>
        <w:rPr>
          <w:rFonts w:hint="eastAsia" w:ascii="宋体" w:hAnsi="宋体"/>
          <w:color w:val="000000"/>
          <w:szCs w:val="21"/>
        </w:rPr>
      </w:pPr>
      <w:r>
        <w:rPr>
          <w:rFonts w:hint="eastAsia" w:ascii="宋体" w:hAnsi="宋体"/>
          <w:color w:val="000000"/>
          <w:szCs w:val="21"/>
        </w:rPr>
        <w:t>3.2.2综合判定</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54F4C"/>
    <w:rsid w:val="00070677"/>
    <w:rsid w:val="0007289B"/>
    <w:rsid w:val="000938BE"/>
    <w:rsid w:val="000B31B4"/>
    <w:rsid w:val="000F47BD"/>
    <w:rsid w:val="001115F1"/>
    <w:rsid w:val="00121A44"/>
    <w:rsid w:val="00126693"/>
    <w:rsid w:val="001623F0"/>
    <w:rsid w:val="00176416"/>
    <w:rsid w:val="001F3FE8"/>
    <w:rsid w:val="00207F0B"/>
    <w:rsid w:val="00211BD0"/>
    <w:rsid w:val="002122B4"/>
    <w:rsid w:val="00240531"/>
    <w:rsid w:val="00260497"/>
    <w:rsid w:val="00267D91"/>
    <w:rsid w:val="00272CA1"/>
    <w:rsid w:val="00277D59"/>
    <w:rsid w:val="00284940"/>
    <w:rsid w:val="00292F7F"/>
    <w:rsid w:val="002A7AFD"/>
    <w:rsid w:val="00311865"/>
    <w:rsid w:val="0035211D"/>
    <w:rsid w:val="00360E00"/>
    <w:rsid w:val="003808FF"/>
    <w:rsid w:val="0039744D"/>
    <w:rsid w:val="00403775"/>
    <w:rsid w:val="00414D47"/>
    <w:rsid w:val="00422334"/>
    <w:rsid w:val="00435BC8"/>
    <w:rsid w:val="00466C26"/>
    <w:rsid w:val="00473779"/>
    <w:rsid w:val="0048716A"/>
    <w:rsid w:val="004C13EF"/>
    <w:rsid w:val="004C72D9"/>
    <w:rsid w:val="004E1C1B"/>
    <w:rsid w:val="004F41DD"/>
    <w:rsid w:val="00513180"/>
    <w:rsid w:val="00553171"/>
    <w:rsid w:val="00556685"/>
    <w:rsid w:val="005B3386"/>
    <w:rsid w:val="006001CF"/>
    <w:rsid w:val="00605616"/>
    <w:rsid w:val="00621545"/>
    <w:rsid w:val="00622E51"/>
    <w:rsid w:val="00623104"/>
    <w:rsid w:val="00663342"/>
    <w:rsid w:val="00681809"/>
    <w:rsid w:val="006A7867"/>
    <w:rsid w:val="006E7112"/>
    <w:rsid w:val="00707088"/>
    <w:rsid w:val="007212BD"/>
    <w:rsid w:val="00735B9D"/>
    <w:rsid w:val="007652FF"/>
    <w:rsid w:val="00803A44"/>
    <w:rsid w:val="00813A0F"/>
    <w:rsid w:val="00814659"/>
    <w:rsid w:val="008271DB"/>
    <w:rsid w:val="008704C5"/>
    <w:rsid w:val="008C4CED"/>
    <w:rsid w:val="008D3180"/>
    <w:rsid w:val="008E46F3"/>
    <w:rsid w:val="008E6FAA"/>
    <w:rsid w:val="00916257"/>
    <w:rsid w:val="009218FD"/>
    <w:rsid w:val="00967FE6"/>
    <w:rsid w:val="0097606A"/>
    <w:rsid w:val="009B0746"/>
    <w:rsid w:val="009B0B0C"/>
    <w:rsid w:val="009E1E7D"/>
    <w:rsid w:val="009E3FA0"/>
    <w:rsid w:val="00A02043"/>
    <w:rsid w:val="00A30649"/>
    <w:rsid w:val="00A67D77"/>
    <w:rsid w:val="00A871CD"/>
    <w:rsid w:val="00A957C3"/>
    <w:rsid w:val="00AD7EAB"/>
    <w:rsid w:val="00AF3B19"/>
    <w:rsid w:val="00AF7D1B"/>
    <w:rsid w:val="00B50BA4"/>
    <w:rsid w:val="00B61E92"/>
    <w:rsid w:val="00B918EF"/>
    <w:rsid w:val="00BB4190"/>
    <w:rsid w:val="00BD6C92"/>
    <w:rsid w:val="00BE295B"/>
    <w:rsid w:val="00BE42E1"/>
    <w:rsid w:val="00C04B27"/>
    <w:rsid w:val="00C06EFC"/>
    <w:rsid w:val="00C90196"/>
    <w:rsid w:val="00CA1AE0"/>
    <w:rsid w:val="00CC17D0"/>
    <w:rsid w:val="00D0415C"/>
    <w:rsid w:val="00D2319E"/>
    <w:rsid w:val="00D42A38"/>
    <w:rsid w:val="00D5109D"/>
    <w:rsid w:val="00D70800"/>
    <w:rsid w:val="00DB1A1F"/>
    <w:rsid w:val="00DC4B95"/>
    <w:rsid w:val="00DD52CA"/>
    <w:rsid w:val="00DD5955"/>
    <w:rsid w:val="00E02AD9"/>
    <w:rsid w:val="00E0427D"/>
    <w:rsid w:val="00EB1677"/>
    <w:rsid w:val="00EF5E2D"/>
    <w:rsid w:val="00F05AD7"/>
    <w:rsid w:val="00F75F78"/>
    <w:rsid w:val="00F762D5"/>
    <w:rsid w:val="00F85ECA"/>
    <w:rsid w:val="00FB4F7E"/>
    <w:rsid w:val="089620DF"/>
    <w:rsid w:val="28580DF7"/>
    <w:rsid w:val="36401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page number"/>
    <w:basedOn w:val="7"/>
    <w:uiPriority w:val="0"/>
  </w:style>
  <w:style w:type="character" w:customStyle="1" w:styleId="9">
    <w:name w:val="页脚 Char"/>
    <w:basedOn w:val="7"/>
    <w:link w:val="3"/>
    <w:uiPriority w:val="99"/>
    <w:rPr>
      <w:sz w:val="18"/>
      <w:szCs w:val="18"/>
    </w:rPr>
  </w:style>
  <w:style w:type="character" w:customStyle="1" w:styleId="10">
    <w:name w:val="页眉 Char"/>
    <w:basedOn w:val="7"/>
    <w:link w:val="4"/>
    <w:uiPriority w:val="99"/>
    <w:rPr>
      <w:sz w:val="18"/>
      <w:szCs w:val="18"/>
    </w:rPr>
  </w:style>
  <w:style w:type="character" w:customStyle="1" w:styleId="11">
    <w:name w:val="页脚 Char1"/>
    <w:basedOn w:val="7"/>
    <w:link w:val="3"/>
    <w:semiHidden/>
    <w:uiPriority w:val="99"/>
    <w:rPr>
      <w:rFonts w:ascii="Times New Roman" w:hAnsi="Times New Roman" w:eastAsia="宋体" w:cs="Times New Roman"/>
      <w:sz w:val="18"/>
      <w:szCs w:val="18"/>
    </w:rPr>
  </w:style>
  <w:style w:type="character" w:customStyle="1" w:styleId="12">
    <w:name w:val="页眉 Char1"/>
    <w:basedOn w:val="7"/>
    <w:link w:val="4"/>
    <w:semiHidden/>
    <w:qFormat/>
    <w:uiPriority w:val="99"/>
    <w:rPr>
      <w:rFonts w:ascii="Times New Roman" w:hAnsi="Times New Roman" w:eastAsia="宋体" w:cs="Times New Roman"/>
      <w:sz w:val="18"/>
      <w:szCs w:val="18"/>
    </w:rPr>
  </w:style>
  <w:style w:type="character" w:customStyle="1" w:styleId="13">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171</Words>
  <Characters>979</Characters>
  <Lines>8</Lines>
  <Paragraphs>2</Paragraphs>
  <TotalTime>0</TotalTime>
  <ScaleCrop>false</ScaleCrop>
  <LinksUpToDate>false</LinksUpToDate>
  <CharactersWithSpaces>1148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2020-03-09T06:47:00Z</dcterms:created>
  <dc:creator>pc</dc:creator>
  <cp:lastModifiedBy>HP</cp:lastModifiedBy>
  <dcterms:modified xsi:type="dcterms:W3CDTF">2020-05-08T08:50:42Z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